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9F" w:rsidRPr="00A346B3" w:rsidRDefault="0005219F" w:rsidP="00133048">
      <w:pPr>
        <w:widowControl/>
        <w:snapToGrid w:val="0"/>
        <w:spacing w:beforeLines="30" w:before="108" w:line="440" w:lineRule="exact"/>
        <w:rPr>
          <w:rFonts w:ascii="標楷體" w:eastAsia="標楷體" w:hAnsi="標楷體" w:cs="新細明體"/>
          <w:b/>
          <w:kern w:val="0"/>
          <w:sz w:val="28"/>
          <w:szCs w:val="28"/>
        </w:rPr>
      </w:pPr>
      <w:r w:rsidRPr="00661117">
        <w:rPr>
          <w:rFonts w:ascii="標楷體" w:eastAsia="標楷體" w:hAnsi="標楷體"/>
          <w:b/>
          <w:color w:val="CC3300"/>
          <w:sz w:val="40"/>
          <w:szCs w:val="40"/>
        </w:rPr>
        <w:t>新竹市遊民安置輔導辦法</w:t>
      </w:r>
      <w:r w:rsidR="00A346B3" w:rsidRPr="00A346B3">
        <w:rPr>
          <w:rFonts w:ascii="標楷體" w:eastAsia="標楷體" w:hAnsi="標楷體" w:hint="eastAsia"/>
          <w:b/>
          <w:sz w:val="28"/>
          <w:szCs w:val="28"/>
        </w:rPr>
        <w:t>101年</w:t>
      </w:r>
      <w:r w:rsidR="003D5D00">
        <w:rPr>
          <w:rFonts w:ascii="標楷體" w:eastAsia="標楷體" w:hAnsi="標楷體" w:hint="eastAsia"/>
          <w:b/>
          <w:sz w:val="28"/>
          <w:szCs w:val="28"/>
        </w:rPr>
        <w:t>08月28日</w:t>
      </w:r>
      <w:bookmarkStart w:id="0" w:name="_GoBack"/>
      <w:bookmarkEnd w:id="0"/>
      <w:r w:rsidR="00A346B3" w:rsidRPr="00A346B3">
        <w:rPr>
          <w:rFonts w:ascii="標楷體" w:eastAsia="標楷體" w:hAnsi="標楷體" w:hint="eastAsia"/>
          <w:b/>
          <w:sz w:val="28"/>
          <w:szCs w:val="28"/>
        </w:rPr>
        <w:t>修</w:t>
      </w:r>
    </w:p>
    <w:p w:rsidR="00F8174E" w:rsidRPr="00405BAD" w:rsidRDefault="00F8174E" w:rsidP="00133048">
      <w:pPr>
        <w:widowControl/>
        <w:snapToGrid w:val="0"/>
        <w:spacing w:beforeLines="30" w:before="108" w:line="440" w:lineRule="exact"/>
        <w:ind w:leftChars="50" w:left="120"/>
        <w:rPr>
          <w:rFonts w:ascii="標楷體" w:eastAsia="標楷體" w:hAnsi="標楷體" w:cs="新細明體"/>
          <w:color w:val="262626"/>
          <w:kern w:val="0"/>
          <w:sz w:val="28"/>
          <w:szCs w:val="28"/>
        </w:rPr>
      </w:pPr>
      <w:r w:rsidRPr="00405BAD">
        <w:rPr>
          <w:rFonts w:ascii="標楷體" w:eastAsia="標楷體" w:hAnsi="標楷體" w:cs="新細明體" w:hint="eastAsia"/>
          <w:color w:val="262626"/>
          <w:kern w:val="0"/>
          <w:sz w:val="28"/>
          <w:szCs w:val="28"/>
        </w:rPr>
        <w:t>第一條  本</w:t>
      </w:r>
      <w:r w:rsidR="0005219F" w:rsidRPr="00405BAD">
        <w:rPr>
          <w:rFonts w:ascii="標楷體" w:eastAsia="標楷體" w:hAnsi="標楷體" w:cs="新細明體"/>
          <w:color w:val="262626"/>
          <w:kern w:val="0"/>
          <w:sz w:val="28"/>
          <w:szCs w:val="28"/>
        </w:rPr>
        <w:t>辦法依社會救助法(以下簡稱本法)第十七條第二項規定訂定之。</w:t>
      </w:r>
    </w:p>
    <w:p w:rsidR="00F8174E" w:rsidRPr="00405BAD" w:rsidRDefault="00F8174E" w:rsidP="00133048">
      <w:pPr>
        <w:widowControl/>
        <w:snapToGrid w:val="0"/>
        <w:spacing w:beforeLines="30" w:before="108" w:line="440" w:lineRule="exact"/>
        <w:ind w:leftChars="50" w:left="120"/>
        <w:rPr>
          <w:rFonts w:ascii="標楷體" w:eastAsia="標楷體" w:hAnsi="標楷體" w:cs="新細明體"/>
          <w:color w:val="262626"/>
          <w:kern w:val="0"/>
          <w:sz w:val="28"/>
          <w:szCs w:val="28"/>
        </w:rPr>
      </w:pPr>
      <w:r w:rsidRPr="00405BAD">
        <w:rPr>
          <w:rFonts w:ascii="標楷體" w:eastAsia="標楷體" w:hAnsi="標楷體" w:cs="新細明體" w:hint="eastAsia"/>
          <w:color w:val="262626"/>
          <w:kern w:val="0"/>
          <w:sz w:val="28"/>
          <w:szCs w:val="28"/>
        </w:rPr>
        <w:t>第二條  本</w:t>
      </w:r>
      <w:r w:rsidR="0005219F" w:rsidRPr="00405BAD">
        <w:rPr>
          <w:rFonts w:ascii="標楷體" w:eastAsia="標楷體" w:hAnsi="標楷體" w:cs="新細明體"/>
          <w:color w:val="262626"/>
          <w:kern w:val="0"/>
          <w:sz w:val="28"/>
          <w:szCs w:val="28"/>
        </w:rPr>
        <w:t>辦法所稱遊民，指流浪、流落街頭孤苦無依或於公共場所露宿者。</w:t>
      </w:r>
    </w:p>
    <w:p w:rsidR="00F8174E" w:rsidRPr="00405BAD" w:rsidRDefault="00F8174E" w:rsidP="00133048">
      <w:pPr>
        <w:widowControl/>
        <w:snapToGrid w:val="0"/>
        <w:spacing w:beforeLines="30" w:before="108"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hint="eastAsia"/>
          <w:color w:val="262626"/>
          <w:kern w:val="0"/>
          <w:sz w:val="28"/>
          <w:szCs w:val="28"/>
        </w:rPr>
        <w:t xml:space="preserve">第三條  </w:t>
      </w:r>
      <w:r w:rsidRPr="00405BAD">
        <w:rPr>
          <w:rFonts w:ascii="標楷體" w:eastAsia="標楷體" w:hAnsi="標楷體" w:cs="新細明體"/>
          <w:color w:val="262626"/>
          <w:kern w:val="0"/>
          <w:sz w:val="28"/>
          <w:szCs w:val="28"/>
        </w:rPr>
        <w:t>遊民之查報，除由民眾報案及本辦法有關機關人員通報，並由新竹市警察局(以下簡稱</w:t>
      </w:r>
      <w:r w:rsidR="00C26228">
        <w:rPr>
          <w:rFonts w:ascii="標楷體" w:eastAsia="標楷體" w:hAnsi="標楷體" w:cs="新細明體" w:hint="eastAsia"/>
          <w:color w:val="262626"/>
          <w:kern w:val="0"/>
          <w:sz w:val="28"/>
          <w:szCs w:val="28"/>
        </w:rPr>
        <w:t>警</w:t>
      </w:r>
      <w:r w:rsidRPr="00405BAD">
        <w:rPr>
          <w:rFonts w:ascii="標楷體" w:eastAsia="標楷體" w:hAnsi="標楷體" w:cs="新細明體"/>
          <w:color w:val="262626"/>
          <w:kern w:val="0"/>
          <w:sz w:val="28"/>
          <w:szCs w:val="28"/>
        </w:rPr>
        <w:t>察局)所屬各分局負責受理報案。</w:t>
      </w:r>
    </w:p>
    <w:p w:rsidR="00F8174E" w:rsidRPr="00405BAD" w:rsidRDefault="0005219F" w:rsidP="00133048">
      <w:pPr>
        <w:widowControl/>
        <w:snapToGrid w:val="0"/>
        <w:spacing w:beforeLines="30" w:before="108"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第四條</w:t>
      </w:r>
      <w:r w:rsidR="00F8174E"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遊民之處理，依下列分工辦理：</w:t>
      </w:r>
    </w:p>
    <w:p w:rsidR="00F23455" w:rsidRPr="00405BAD" w:rsidRDefault="0005219F" w:rsidP="00133048">
      <w:pPr>
        <w:pStyle w:val="a7"/>
        <w:widowControl/>
        <w:numPr>
          <w:ilvl w:val="0"/>
          <w:numId w:val="3"/>
        </w:numPr>
        <w:snapToGrid w:val="0"/>
        <w:spacing w:beforeLines="30" w:before="108" w:line="440" w:lineRule="exact"/>
        <w:ind w:leftChars="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遊民之身分調查、家屬查尋、違法查辦等事項，由警察局辦理</w:t>
      </w:r>
      <w:r w:rsidR="00E01370" w:rsidRPr="00405BAD">
        <w:rPr>
          <w:rFonts w:ascii="標楷體" w:eastAsia="標楷體" w:hAnsi="標楷體" w:cs="新細明體"/>
          <w:color w:val="262626"/>
          <w:kern w:val="0"/>
          <w:sz w:val="28"/>
          <w:szCs w:val="28"/>
        </w:rPr>
        <w:t>，</w:t>
      </w:r>
      <w:r w:rsidR="00E01370" w:rsidRPr="00405BAD">
        <w:rPr>
          <w:rFonts w:ascii="標楷體" w:eastAsia="標楷體" w:hAnsi="標楷體" w:cs="新細明體" w:hint="eastAsia"/>
          <w:color w:val="262626"/>
          <w:kern w:val="0"/>
          <w:sz w:val="28"/>
          <w:szCs w:val="28"/>
        </w:rPr>
        <w:t>經</w:t>
      </w:r>
      <w:r w:rsidR="00E01370" w:rsidRPr="00405BAD">
        <w:rPr>
          <w:rFonts w:ascii="標楷體" w:eastAsia="標楷體" w:hAnsi="標楷體" w:cs="新細明體"/>
          <w:color w:val="262626"/>
          <w:kern w:val="0"/>
          <w:sz w:val="28"/>
          <w:szCs w:val="28"/>
        </w:rPr>
        <w:t>查</w:t>
      </w:r>
      <w:r w:rsidRPr="00405BAD">
        <w:rPr>
          <w:rFonts w:ascii="標楷體" w:eastAsia="標楷體" w:hAnsi="標楷體" w:cs="新細明體"/>
          <w:color w:val="262626"/>
          <w:kern w:val="0"/>
          <w:sz w:val="28"/>
          <w:szCs w:val="28"/>
        </w:rPr>
        <w:t>有身分者，</w:t>
      </w:r>
      <w:r w:rsidR="00E01370" w:rsidRPr="00405BAD">
        <w:rPr>
          <w:rFonts w:ascii="標楷體" w:eastAsia="標楷體" w:hAnsi="標楷體" w:cs="新細明體" w:hint="eastAsia"/>
          <w:color w:val="262626"/>
          <w:kern w:val="0"/>
          <w:sz w:val="28"/>
          <w:szCs w:val="28"/>
        </w:rPr>
        <w:t>通</w:t>
      </w:r>
      <w:r w:rsidR="00E01370" w:rsidRPr="00405BAD">
        <w:rPr>
          <w:rFonts w:ascii="標楷體" w:eastAsia="標楷體" w:hAnsi="標楷體" w:cs="新細明體"/>
          <w:color w:val="262626"/>
          <w:kern w:val="0"/>
          <w:sz w:val="28"/>
          <w:szCs w:val="28"/>
        </w:rPr>
        <w:t>知家屬領回，如無返家意願者，通知新竹市政府(以下簡稱本府)社會處處理；</w:t>
      </w:r>
      <w:r w:rsidR="00E01370" w:rsidRPr="00405BAD">
        <w:rPr>
          <w:rFonts w:ascii="標楷體" w:eastAsia="標楷體" w:hAnsi="標楷體" w:cs="新細明體" w:hint="eastAsia"/>
          <w:color w:val="262626"/>
          <w:kern w:val="0"/>
          <w:sz w:val="28"/>
          <w:szCs w:val="28"/>
        </w:rPr>
        <w:t>如</w:t>
      </w:r>
      <w:r w:rsidR="00E01370" w:rsidRPr="00405BAD">
        <w:rPr>
          <w:rFonts w:ascii="標楷體" w:eastAsia="標楷體" w:hAnsi="標楷體" w:cs="新細明體"/>
          <w:color w:val="262626"/>
          <w:kern w:val="0"/>
          <w:sz w:val="28"/>
          <w:szCs w:val="28"/>
        </w:rPr>
        <w:t>需就醫者，協助護送前往醫療機構就醫；如係屬緊急傷病患者，洽請新竹市消</w:t>
      </w:r>
      <w:r w:rsidR="00E01370" w:rsidRPr="00405BAD">
        <w:rPr>
          <w:rFonts w:ascii="標楷體" w:eastAsia="標楷體" w:hAnsi="標楷體" w:cs="新細明體" w:hint="eastAsia"/>
          <w:color w:val="262626"/>
          <w:kern w:val="0"/>
          <w:sz w:val="28"/>
          <w:szCs w:val="28"/>
        </w:rPr>
        <w:t>防</w:t>
      </w:r>
      <w:r w:rsidR="00E01370" w:rsidRPr="00405BAD">
        <w:rPr>
          <w:rFonts w:ascii="標楷體" w:eastAsia="標楷體" w:hAnsi="標楷體" w:cs="新細明體"/>
          <w:color w:val="262626"/>
          <w:kern w:val="0"/>
          <w:sz w:val="28"/>
          <w:szCs w:val="28"/>
        </w:rPr>
        <w:t>局(以下簡稱消防局)辦理；身分不明之遊民送安置者，應附路倒通報單、中文</w:t>
      </w:r>
      <w:r w:rsidR="00E01370" w:rsidRPr="00405BAD">
        <w:rPr>
          <w:rFonts w:ascii="標楷體" w:eastAsia="標楷體" w:hAnsi="標楷體" w:cs="新細明體" w:hint="eastAsia"/>
          <w:color w:val="262626"/>
          <w:kern w:val="0"/>
          <w:sz w:val="28"/>
          <w:szCs w:val="28"/>
        </w:rPr>
        <w:t>體</w:t>
      </w:r>
      <w:r w:rsidR="00E01370" w:rsidRPr="00405BAD">
        <w:rPr>
          <w:rFonts w:ascii="標楷體" w:eastAsia="標楷體" w:hAnsi="標楷體" w:cs="新細明體"/>
          <w:color w:val="262626"/>
          <w:kern w:val="0"/>
          <w:sz w:val="28"/>
          <w:szCs w:val="28"/>
        </w:rPr>
        <w:t>檢表或診斷證明病歷摘要及身分不明人口案件通報單，如經評估有必要者，由</w:t>
      </w:r>
      <w:r w:rsidR="00E01370" w:rsidRPr="00405BAD">
        <w:rPr>
          <w:rFonts w:ascii="標楷體" w:eastAsia="標楷體" w:hAnsi="標楷體" w:cs="新細明體" w:hint="eastAsia"/>
          <w:color w:val="262626"/>
          <w:kern w:val="0"/>
          <w:sz w:val="28"/>
          <w:szCs w:val="28"/>
        </w:rPr>
        <w:t>醫</w:t>
      </w:r>
      <w:r w:rsidR="00E01370" w:rsidRPr="00405BAD">
        <w:rPr>
          <w:rFonts w:ascii="標楷體" w:eastAsia="標楷體" w:hAnsi="標楷體" w:cs="新細明體"/>
          <w:color w:val="262626"/>
          <w:kern w:val="0"/>
          <w:sz w:val="28"/>
          <w:szCs w:val="28"/>
        </w:rPr>
        <w:t>療機構所在地轄區警察機關協助護送。</w:t>
      </w:r>
    </w:p>
    <w:p w:rsidR="00E01370" w:rsidRPr="00405BAD" w:rsidRDefault="0070726F" w:rsidP="00133048">
      <w:pPr>
        <w:pStyle w:val="a7"/>
        <w:widowControl/>
        <w:snapToGrid w:val="0"/>
        <w:spacing w:beforeLines="30" w:before="108" w:line="440" w:lineRule="exact"/>
        <w:ind w:leftChars="800" w:left="1920" w:firstLineChars="1459" w:firstLine="4089"/>
        <w:rPr>
          <w:rFonts w:ascii="標楷體" w:eastAsia="標楷體" w:hAnsi="標楷體" w:cs="新細明體"/>
          <w:b/>
          <w:color w:val="FF0000"/>
          <w:kern w:val="0"/>
          <w:sz w:val="28"/>
          <w:szCs w:val="28"/>
        </w:rPr>
      </w:pPr>
      <w:r w:rsidRPr="00405BAD">
        <w:rPr>
          <w:rFonts w:ascii="標楷體" w:eastAsia="標楷體" w:hAnsi="標楷體" w:cs="新細明體"/>
          <w:b/>
          <w:color w:val="FF0000"/>
          <w:kern w:val="0"/>
          <w:sz w:val="28"/>
          <w:szCs w:val="28"/>
        </w:rPr>
        <w:t>（</w:t>
      </w:r>
      <w:r w:rsidR="00E757AD" w:rsidRPr="00405BAD">
        <w:rPr>
          <w:rFonts w:ascii="標楷體" w:eastAsia="標楷體" w:hAnsi="標楷體" w:cs="新細明體" w:hint="eastAsia"/>
          <w:b/>
          <w:color w:val="FF0000"/>
          <w:kern w:val="0"/>
          <w:sz w:val="28"/>
          <w:szCs w:val="28"/>
        </w:rPr>
        <w:t>警</w:t>
      </w:r>
      <w:r w:rsidRPr="00405BAD">
        <w:rPr>
          <w:rFonts w:ascii="標楷體" w:eastAsia="標楷體" w:hAnsi="標楷體" w:cs="新細明體" w:hint="eastAsia"/>
          <w:b/>
          <w:color w:val="FF0000"/>
          <w:kern w:val="0"/>
          <w:sz w:val="28"/>
          <w:szCs w:val="28"/>
        </w:rPr>
        <w:t>政</w:t>
      </w:r>
      <w:r w:rsidR="00F23455" w:rsidRPr="00405BAD">
        <w:rPr>
          <w:rFonts w:ascii="標楷體" w:eastAsia="標楷體" w:hAnsi="標楷體" w:cs="新細明體" w:hint="eastAsia"/>
          <w:b/>
          <w:color w:val="FF0000"/>
          <w:kern w:val="0"/>
          <w:sz w:val="28"/>
          <w:szCs w:val="28"/>
        </w:rPr>
        <w:t>、社政、消防、衛政</w:t>
      </w:r>
      <w:r w:rsidRPr="00405BAD">
        <w:rPr>
          <w:rFonts w:ascii="標楷體" w:eastAsia="標楷體" w:hAnsi="標楷體" w:cs="新細明體"/>
          <w:b/>
          <w:color w:val="FF0000"/>
          <w:kern w:val="0"/>
          <w:sz w:val="28"/>
          <w:szCs w:val="28"/>
        </w:rPr>
        <w:t>）</w:t>
      </w:r>
    </w:p>
    <w:p w:rsidR="00E01370"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二、遊民之醫療補助、諮商輔導、轉介安置、社會救助、福利服務等事項，由本府社會處辦理。</w:t>
      </w:r>
      <w:r w:rsidR="0070726F" w:rsidRPr="00405BAD">
        <w:rPr>
          <w:rFonts w:ascii="標楷體" w:eastAsia="標楷體" w:hAnsi="標楷體" w:cs="新細明體"/>
          <w:b/>
          <w:color w:val="FF0000"/>
          <w:kern w:val="0"/>
          <w:sz w:val="28"/>
          <w:szCs w:val="28"/>
        </w:rPr>
        <w:t>（</w:t>
      </w:r>
      <w:r w:rsidR="00DB63BB" w:rsidRPr="00405BAD">
        <w:rPr>
          <w:rFonts w:ascii="標楷體" w:eastAsia="標楷體" w:hAnsi="標楷體" w:cs="新細明體" w:hint="eastAsia"/>
          <w:b/>
          <w:color w:val="FF0000"/>
          <w:kern w:val="0"/>
          <w:sz w:val="28"/>
          <w:szCs w:val="28"/>
        </w:rPr>
        <w:t>社</w:t>
      </w:r>
      <w:r w:rsidR="0070726F" w:rsidRPr="00405BAD">
        <w:rPr>
          <w:rFonts w:ascii="標楷體" w:eastAsia="標楷體" w:hAnsi="標楷體" w:cs="新細明體" w:hint="eastAsia"/>
          <w:b/>
          <w:color w:val="FF0000"/>
          <w:kern w:val="0"/>
          <w:sz w:val="28"/>
          <w:szCs w:val="28"/>
        </w:rPr>
        <w:t>政</w:t>
      </w:r>
      <w:r w:rsidR="0070726F" w:rsidRPr="00405BAD">
        <w:rPr>
          <w:rFonts w:ascii="標楷體" w:eastAsia="標楷體" w:hAnsi="標楷體" w:cs="新細明體"/>
          <w:b/>
          <w:color w:val="FF0000"/>
          <w:kern w:val="0"/>
          <w:sz w:val="28"/>
          <w:szCs w:val="28"/>
        </w:rPr>
        <w:t>）</w:t>
      </w:r>
    </w:p>
    <w:p w:rsidR="0070726F"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三、遊民罹患疾病之診斷、鑑定、醫療及其他醫療相關協調等事項，由新竹市衛生局(以下簡稱衛生局)辦理。</w:t>
      </w:r>
      <w:r w:rsidR="0070726F" w:rsidRPr="00405BAD">
        <w:rPr>
          <w:rFonts w:ascii="標楷體" w:eastAsia="標楷體" w:hAnsi="標楷體" w:cs="新細明體"/>
          <w:b/>
          <w:color w:val="FF0000"/>
          <w:kern w:val="0"/>
          <w:sz w:val="28"/>
          <w:szCs w:val="28"/>
        </w:rPr>
        <w:t>（</w:t>
      </w:r>
      <w:r w:rsidR="0070726F" w:rsidRPr="00405BAD">
        <w:rPr>
          <w:rFonts w:ascii="標楷體" w:eastAsia="標楷體" w:hAnsi="標楷體" w:cs="新細明體" w:hint="eastAsia"/>
          <w:b/>
          <w:color w:val="FF0000"/>
          <w:kern w:val="0"/>
          <w:sz w:val="28"/>
          <w:szCs w:val="28"/>
        </w:rPr>
        <w:t>衛政</w:t>
      </w:r>
      <w:r w:rsidR="0070726F" w:rsidRPr="00405BAD">
        <w:rPr>
          <w:rFonts w:ascii="標楷體" w:eastAsia="標楷體" w:hAnsi="標楷體" w:cs="新細明體"/>
          <w:b/>
          <w:color w:val="FF0000"/>
          <w:kern w:val="0"/>
          <w:sz w:val="28"/>
          <w:szCs w:val="28"/>
        </w:rPr>
        <w:t>）</w:t>
      </w:r>
    </w:p>
    <w:p w:rsidR="0070726F"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四、遊民罹患精神疾病或疑似罹患精神疾病者，由衛生局結合相關單位提供協助。</w:t>
      </w:r>
      <w:r w:rsidR="0070726F" w:rsidRPr="00405BAD">
        <w:rPr>
          <w:rFonts w:ascii="標楷體" w:eastAsia="標楷體" w:hAnsi="標楷體" w:cs="新細明體"/>
          <w:b/>
          <w:color w:val="FF0000"/>
          <w:kern w:val="0"/>
          <w:sz w:val="28"/>
          <w:szCs w:val="28"/>
        </w:rPr>
        <w:t>（</w:t>
      </w:r>
      <w:r w:rsidR="0070726F" w:rsidRPr="00405BAD">
        <w:rPr>
          <w:rFonts w:ascii="標楷體" w:eastAsia="標楷體" w:hAnsi="標楷體" w:cs="新細明體" w:hint="eastAsia"/>
          <w:b/>
          <w:color w:val="FF0000"/>
          <w:kern w:val="0"/>
          <w:sz w:val="28"/>
          <w:szCs w:val="28"/>
        </w:rPr>
        <w:t>衛政</w:t>
      </w:r>
      <w:r w:rsidR="0070726F" w:rsidRPr="00405BAD">
        <w:rPr>
          <w:rFonts w:ascii="標楷體" w:eastAsia="標楷體" w:hAnsi="標楷體" w:cs="新細明體"/>
          <w:b/>
          <w:color w:val="FF0000"/>
          <w:kern w:val="0"/>
          <w:sz w:val="28"/>
          <w:szCs w:val="28"/>
        </w:rPr>
        <w:t>）</w:t>
      </w:r>
    </w:p>
    <w:p w:rsidR="00C61BBC"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五、遊民有工作能力且有工作意願者，轉介相關機構提供職業重建或就業服務等事項，由本府勞工處或各就業服務中心辦理。</w:t>
      </w:r>
      <w:r w:rsidR="00C61BBC" w:rsidRPr="00405BAD">
        <w:rPr>
          <w:rFonts w:ascii="標楷體" w:eastAsia="標楷體" w:hAnsi="標楷體" w:cs="新細明體"/>
          <w:b/>
          <w:color w:val="FF0000"/>
          <w:kern w:val="0"/>
          <w:sz w:val="28"/>
          <w:szCs w:val="28"/>
        </w:rPr>
        <w:t>（</w:t>
      </w:r>
      <w:r w:rsidR="00C61BBC" w:rsidRPr="00405BAD">
        <w:rPr>
          <w:rFonts w:ascii="標楷體" w:eastAsia="標楷體" w:hAnsi="標楷體" w:cs="新細明體" w:hint="eastAsia"/>
          <w:b/>
          <w:color w:val="FF0000"/>
          <w:kern w:val="0"/>
          <w:sz w:val="28"/>
          <w:szCs w:val="28"/>
        </w:rPr>
        <w:t>勞政</w:t>
      </w:r>
      <w:r w:rsidR="00C61BBC" w:rsidRPr="00405BAD">
        <w:rPr>
          <w:rFonts w:ascii="標楷體" w:eastAsia="標楷體" w:hAnsi="標楷體" w:cs="新細明體"/>
          <w:b/>
          <w:color w:val="FF0000"/>
          <w:kern w:val="0"/>
          <w:sz w:val="28"/>
          <w:szCs w:val="28"/>
        </w:rPr>
        <w:t>）</w:t>
      </w:r>
    </w:p>
    <w:p w:rsidR="0070726F"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六、遊民戶籍之清查，由本府民政處辦理，經查確實無戶籍者，由戶政事務所依規定辦</w:t>
      </w:r>
      <w:r w:rsidRPr="00405BAD">
        <w:rPr>
          <w:rFonts w:ascii="標楷體" w:eastAsia="標楷體" w:hAnsi="標楷體" w:cs="新細明體" w:hint="eastAsia"/>
          <w:color w:val="262626"/>
          <w:kern w:val="0"/>
          <w:sz w:val="28"/>
          <w:szCs w:val="28"/>
        </w:rPr>
        <w:t>理</w:t>
      </w:r>
      <w:r w:rsidRPr="00405BAD">
        <w:rPr>
          <w:rFonts w:ascii="標楷體" w:eastAsia="標楷體" w:hAnsi="標楷體" w:cs="新細明體"/>
          <w:color w:val="262626"/>
          <w:kern w:val="0"/>
          <w:sz w:val="28"/>
          <w:szCs w:val="28"/>
        </w:rPr>
        <w:t>戶籍登記。</w:t>
      </w:r>
      <w:r w:rsidR="0070726F" w:rsidRPr="00405BAD">
        <w:rPr>
          <w:rFonts w:ascii="標楷體" w:eastAsia="標楷體" w:hAnsi="標楷體" w:cs="新細明體"/>
          <w:b/>
          <w:color w:val="FF0000"/>
          <w:kern w:val="0"/>
          <w:sz w:val="28"/>
          <w:szCs w:val="28"/>
        </w:rPr>
        <w:t>（</w:t>
      </w:r>
      <w:r w:rsidR="0070726F" w:rsidRPr="00405BAD">
        <w:rPr>
          <w:rFonts w:ascii="標楷體" w:eastAsia="標楷體" w:hAnsi="標楷體" w:cs="新細明體" w:hint="eastAsia"/>
          <w:b/>
          <w:color w:val="FF0000"/>
          <w:kern w:val="0"/>
          <w:sz w:val="28"/>
          <w:szCs w:val="28"/>
        </w:rPr>
        <w:t>民政、戶政</w:t>
      </w:r>
      <w:r w:rsidR="0070726F" w:rsidRPr="00405BAD">
        <w:rPr>
          <w:rFonts w:ascii="標楷體" w:eastAsia="標楷體" w:hAnsi="標楷體" w:cs="新細明體"/>
          <w:b/>
          <w:color w:val="FF0000"/>
          <w:kern w:val="0"/>
          <w:sz w:val="28"/>
          <w:szCs w:val="28"/>
        </w:rPr>
        <w:t>）</w:t>
      </w:r>
    </w:p>
    <w:p w:rsidR="00E01370"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七、遊民為更生人，應結合法務部所屬之財團法人台灣更生保護會新竹分會(以下簡稱更生保護會)提供出獄後輔導。</w:t>
      </w:r>
      <w:r w:rsidR="00F23455" w:rsidRPr="00405BAD">
        <w:rPr>
          <w:rFonts w:ascii="標楷體" w:eastAsia="標楷體" w:hAnsi="標楷體" w:cs="新細明體"/>
          <w:b/>
          <w:color w:val="FF0000"/>
          <w:kern w:val="0"/>
          <w:sz w:val="28"/>
          <w:szCs w:val="28"/>
        </w:rPr>
        <w:t>（</w:t>
      </w:r>
      <w:r w:rsidR="00F23455" w:rsidRPr="00405BAD">
        <w:rPr>
          <w:rFonts w:ascii="標楷體" w:eastAsia="標楷體" w:hAnsi="標楷體" w:cs="新細明體" w:hint="eastAsia"/>
          <w:b/>
          <w:color w:val="FF0000"/>
          <w:kern w:val="0"/>
          <w:sz w:val="28"/>
          <w:szCs w:val="28"/>
        </w:rPr>
        <w:t>司法</w:t>
      </w:r>
      <w:r w:rsidR="00F23455" w:rsidRPr="00405BAD">
        <w:rPr>
          <w:rFonts w:ascii="標楷體" w:eastAsia="標楷體" w:hAnsi="標楷體" w:cs="新細明體"/>
          <w:b/>
          <w:color w:val="FF0000"/>
          <w:kern w:val="0"/>
          <w:sz w:val="28"/>
          <w:szCs w:val="28"/>
        </w:rPr>
        <w:t>）</w:t>
      </w:r>
    </w:p>
    <w:p w:rsidR="00E01370" w:rsidRPr="00405BAD" w:rsidRDefault="00E01370" w:rsidP="00133048">
      <w:pPr>
        <w:widowControl/>
        <w:snapToGrid w:val="0"/>
        <w:spacing w:beforeLines="30" w:before="108" w:line="440" w:lineRule="exact"/>
        <w:ind w:leftChars="500" w:left="1760" w:hangingChars="200" w:hanging="560"/>
        <w:rPr>
          <w:rFonts w:ascii="標楷體" w:eastAsia="標楷體" w:hAnsi="標楷體" w:cs="新細明體"/>
          <w:b/>
          <w:color w:val="FF0000"/>
          <w:kern w:val="0"/>
          <w:sz w:val="28"/>
          <w:szCs w:val="28"/>
        </w:rPr>
      </w:pPr>
      <w:r w:rsidRPr="00405BAD">
        <w:rPr>
          <w:rFonts w:ascii="標楷體" w:eastAsia="標楷體" w:hAnsi="標楷體" w:cs="新細明體"/>
          <w:color w:val="262626"/>
          <w:kern w:val="0"/>
          <w:sz w:val="28"/>
          <w:szCs w:val="28"/>
        </w:rPr>
        <w:t>八、</w:t>
      </w:r>
      <w:r w:rsidRPr="00691AB7">
        <w:rPr>
          <w:rFonts w:ascii="標楷體" w:eastAsia="標楷體" w:hAnsi="標楷體" w:cs="新細明體"/>
          <w:color w:val="262626"/>
          <w:kern w:val="0"/>
          <w:sz w:val="28"/>
          <w:szCs w:val="28"/>
        </w:rPr>
        <w:t>遊民經常聚集場所之環境維護及場地管理權責事項，由</w:t>
      </w:r>
      <w:r w:rsidRPr="00691AB7">
        <w:rPr>
          <w:rFonts w:ascii="標楷體" w:eastAsia="標楷體" w:hAnsi="標楷體" w:cs="新細明體"/>
          <w:b/>
          <w:color w:val="262626"/>
          <w:kern w:val="0"/>
          <w:sz w:val="28"/>
          <w:szCs w:val="28"/>
        </w:rPr>
        <w:t>各該</w:t>
      </w:r>
      <w:r w:rsidRPr="00691AB7">
        <w:rPr>
          <w:rFonts w:ascii="標楷體" w:eastAsia="標楷體" w:hAnsi="標楷體" w:cs="新細明體"/>
          <w:color w:val="FF0000"/>
          <w:kern w:val="0"/>
          <w:sz w:val="28"/>
          <w:szCs w:val="28"/>
        </w:rPr>
        <w:t>權責機關辦理</w:t>
      </w:r>
      <w:r w:rsidRPr="00691AB7">
        <w:rPr>
          <w:rFonts w:ascii="標楷體" w:eastAsia="標楷體" w:hAnsi="標楷體" w:cs="新細明體"/>
          <w:color w:val="262626"/>
          <w:kern w:val="0"/>
          <w:sz w:val="28"/>
          <w:szCs w:val="28"/>
        </w:rPr>
        <w:t>。</w:t>
      </w:r>
      <w:r w:rsidR="0070726F" w:rsidRPr="00691AB7">
        <w:rPr>
          <w:rFonts w:ascii="標楷體" w:eastAsia="標楷體" w:hAnsi="標楷體" w:cs="新細明體"/>
          <w:b/>
          <w:color w:val="FF0000"/>
          <w:kern w:val="0"/>
          <w:sz w:val="28"/>
          <w:szCs w:val="28"/>
        </w:rPr>
        <w:t>（</w:t>
      </w:r>
      <w:r w:rsidR="00C95AAF" w:rsidRPr="00691AB7">
        <w:rPr>
          <w:rFonts w:ascii="標楷體" w:eastAsia="標楷體" w:hAnsi="標楷體" w:cs="新細明體" w:hint="eastAsia"/>
          <w:b/>
          <w:color w:val="FF0000"/>
          <w:kern w:val="0"/>
          <w:sz w:val="28"/>
          <w:szCs w:val="28"/>
        </w:rPr>
        <w:t>如：</w:t>
      </w:r>
      <w:r w:rsidR="0070726F" w:rsidRPr="00691AB7">
        <w:rPr>
          <w:rFonts w:ascii="標楷體" w:eastAsia="標楷體" w:hAnsi="標楷體" w:cs="新細明體" w:hint="eastAsia"/>
          <w:b/>
          <w:color w:val="FF0000"/>
          <w:kern w:val="0"/>
          <w:sz w:val="28"/>
          <w:szCs w:val="28"/>
        </w:rPr>
        <w:t>停車場→交通；地下道→工務；公園、廣場→城銷</w:t>
      </w:r>
      <w:r w:rsidR="0070726F" w:rsidRPr="00691AB7">
        <w:rPr>
          <w:rFonts w:ascii="標楷體" w:eastAsia="標楷體" w:hAnsi="標楷體" w:cs="新細明體"/>
          <w:b/>
          <w:color w:val="FF0000"/>
          <w:kern w:val="0"/>
          <w:sz w:val="28"/>
          <w:szCs w:val="28"/>
        </w:rPr>
        <w:t>…）</w:t>
      </w:r>
    </w:p>
    <w:p w:rsidR="00E01370" w:rsidRPr="00405BAD" w:rsidRDefault="00E01370" w:rsidP="00133048">
      <w:pPr>
        <w:widowControl/>
        <w:snapToGrid w:val="0"/>
        <w:spacing w:beforeLines="50" w:before="180" w:line="440" w:lineRule="exact"/>
        <w:ind w:leftChars="500" w:left="12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lastRenderedPageBreak/>
        <w:t>前項所列各款工作應由本府並結合更生保護會、法務部矯正署所屬相關機關、行政院國軍退除役官兵輔導委員會新竹榮民服務處(以下簡稱榮民服務處)及行政院勞工委員會職業訓練局桃竹苗就業服務中心新竹就業服務站(以下簡稱新竹就服站)等機關單位，建立遊民安置輔導體系。</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第五條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經依前條送醫治療痊癒後，確實查無戶籍身分或無家可歸須保護安置者，由本府社會處依兒童、少年、老人、身心障礙者之相關法令予以安置。</w:t>
      </w:r>
    </w:p>
    <w:p w:rsidR="00E01370" w:rsidRPr="00405BAD" w:rsidRDefault="00E01370" w:rsidP="00133048">
      <w:pPr>
        <w:widowControl/>
        <w:snapToGrid w:val="0"/>
        <w:spacing w:beforeLines="50" w:before="180" w:line="440" w:lineRule="exact"/>
        <w:ind w:leftChars="500" w:left="12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不符合前項規定者，由本府轉介社會救助機構安置。不願接受安置者，不受戶籍地限制予以列冊並提供社會福利相關資訊，視需要結合民間資源提供低温緊急庇護、沐浴、義剪、義診、就業協助等服務。</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第六條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遊民送至社會救助機構安置前，應先送至醫療機構作疾病篩檢或內外傷科身心障礙鑑定；其有傷病者，應予治療後再送安置；其有法定傳染病者，經醫療機構評估有傳染之虞，並經衛生局認定須施行隔離治療者，應送傳染病指定隔離醫院接受治療，確認無傳染之虞後再送安置；醫療機構，不得因遊民身分不明而拒絕辦理。</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第七條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遊民戶籍、身分經查明者，依下列規定辦理：</w:t>
      </w:r>
    </w:p>
    <w:p w:rsidR="00E01370" w:rsidRPr="00405BAD" w:rsidRDefault="00E01370" w:rsidP="00133048">
      <w:pPr>
        <w:widowControl/>
        <w:snapToGrid w:val="0"/>
        <w:spacing w:beforeLines="50" w:before="180" w:line="440" w:lineRule="exact"/>
        <w:ind w:leftChars="500" w:left="1760" w:hangingChars="200" w:hanging="56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一、具榮民身分，屬單身在台無親屬者，得由當地榮民服務處協助安置。</w:t>
      </w:r>
    </w:p>
    <w:p w:rsidR="00E01370" w:rsidRPr="00405BAD" w:rsidRDefault="00E01370" w:rsidP="00133048">
      <w:pPr>
        <w:widowControl/>
        <w:snapToGrid w:val="0"/>
        <w:spacing w:beforeLines="50" w:before="180" w:line="440" w:lineRule="exact"/>
        <w:ind w:leftChars="500" w:left="1760" w:hangingChars="200" w:hanging="56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二、非本市市民者，轉知戶籍所在地社政主管機關。</w:t>
      </w:r>
    </w:p>
    <w:p w:rsidR="00E01370" w:rsidRPr="00405BAD" w:rsidRDefault="00E01370" w:rsidP="00133048">
      <w:pPr>
        <w:widowControl/>
        <w:snapToGrid w:val="0"/>
        <w:spacing w:beforeLines="50" w:before="180" w:line="440" w:lineRule="exact"/>
        <w:ind w:leftChars="500" w:left="1760" w:hangingChars="200" w:hanging="56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三、屬本市市民者，如經查其有家屬、扶養義務人或監（保）護人時通知其家屬、扶養義務人或監（保）護人領回，經通知拒不領回，涉有遺棄之行為，由本府社會處會同警察局依法處理；如經查其無家屬、扶養義務人或監（保）護人，或其家屬、扶養義務人或監（保）護人無法扶養、照顧時，由本府社會處依社會福利有關法令規定處理。</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第八條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社會救助機構安置之遊民，經評估須生活扶助、急難救助或醫療補助者，依社會救助有關法令規定辦理。</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lastRenderedPageBreak/>
        <w:t>第九條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安置機構之遊民有物質成癮者，應轉介法務部矯正署所屬相關機關施予矯正或治療。</w:t>
      </w:r>
    </w:p>
    <w:p w:rsidR="00E01370" w:rsidRPr="00405BAD" w:rsidRDefault="00E01370" w:rsidP="00133048">
      <w:pPr>
        <w:widowControl/>
        <w:snapToGrid w:val="0"/>
        <w:spacing w:beforeLines="50" w:before="180" w:line="440" w:lineRule="exact"/>
        <w:ind w:leftChars="500" w:left="12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安置機構之遊民有工作能力及工作意願者應轉介本府勞工處或新竹就服站提供職業訓練或就業服務，以輔導其自立。經輔導回歸社區之遊民，得由本府社會處視需要提供房屋租金補助。</w:t>
      </w:r>
    </w:p>
    <w:p w:rsidR="00E01370" w:rsidRPr="00405BAD" w:rsidRDefault="00E01370" w:rsidP="00133048">
      <w:pPr>
        <w:widowControl/>
        <w:snapToGrid w:val="0"/>
        <w:spacing w:beforeLines="50" w:before="180" w:line="440" w:lineRule="exact"/>
        <w:ind w:leftChars="50" w:left="1240" w:hangingChars="400" w:hanging="112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社會救助機構安置之遊民死亡而無遺屬與遺產，依本法第二十四條規定辦理葬埋。</w:t>
      </w:r>
    </w:p>
    <w:p w:rsidR="00E01370" w:rsidRPr="00405BAD" w:rsidRDefault="00E01370" w:rsidP="00133048">
      <w:pPr>
        <w:widowControl/>
        <w:snapToGrid w:val="0"/>
        <w:spacing w:beforeLines="50" w:before="180" w:line="440" w:lineRule="exact"/>
        <w:ind w:leftChars="50" w:left="1520" w:hangingChars="500" w:hanging="14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第十一條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為鼓勵民間機構、團體投入資源，得由本府獎勵民間機構、團體參與辦理遊民服務輔導業務。</w:t>
      </w:r>
    </w:p>
    <w:p w:rsidR="00E01370" w:rsidRPr="00405BAD" w:rsidRDefault="00E01370" w:rsidP="00133048">
      <w:pPr>
        <w:widowControl/>
        <w:snapToGrid w:val="0"/>
        <w:spacing w:beforeLines="50" w:before="180" w:line="440" w:lineRule="exact"/>
        <w:ind w:leftChars="50" w:left="1520" w:hangingChars="500" w:hanging="14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第十二條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路倒病人之處理，準用本辦法之規定。</w:t>
      </w:r>
    </w:p>
    <w:p w:rsidR="00E01370" w:rsidRPr="00405BAD" w:rsidRDefault="00E01370" w:rsidP="00133048">
      <w:pPr>
        <w:widowControl/>
        <w:snapToGrid w:val="0"/>
        <w:spacing w:beforeLines="50" w:before="180" w:line="440" w:lineRule="exact"/>
        <w:ind w:leftChars="50" w:left="1520" w:hangingChars="500" w:hanging="14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第十三條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為執行本法第十七條推動遊民安置及輔導工作，應由市長擔任召集人，邀集第四條第二項所列機關單位主管，定期召開遊民輔導聯繫會報，以強化遊民之安置及輔導功能。</w:t>
      </w:r>
    </w:p>
    <w:p w:rsidR="00E01370" w:rsidRPr="00405BAD" w:rsidRDefault="00E01370" w:rsidP="00133048">
      <w:pPr>
        <w:widowControl/>
        <w:snapToGrid w:val="0"/>
        <w:spacing w:beforeLines="50" w:before="180" w:line="440" w:lineRule="exact"/>
        <w:ind w:leftChars="50" w:left="1520" w:hangingChars="500" w:hanging="14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第十四條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經列冊輔導之遊民，應建立其個人基本資料及所接受之遊民服務及輔導事項，每三個月並定期更新。</w:t>
      </w:r>
    </w:p>
    <w:p w:rsidR="00E01370" w:rsidRPr="00405BAD" w:rsidRDefault="00E01370" w:rsidP="00133048">
      <w:pPr>
        <w:widowControl/>
        <w:snapToGrid w:val="0"/>
        <w:spacing w:beforeLines="50" w:before="180" w:line="440" w:lineRule="exact"/>
        <w:ind w:leftChars="50" w:left="1520" w:hangingChars="500" w:hanging="1400"/>
        <w:rPr>
          <w:rFonts w:ascii="標楷體" w:eastAsia="標楷體" w:hAnsi="標楷體" w:cs="新細明體"/>
          <w:color w:val="262626"/>
          <w:kern w:val="0"/>
          <w:sz w:val="28"/>
          <w:szCs w:val="28"/>
        </w:rPr>
      </w:pPr>
      <w:r w:rsidRPr="00405BAD">
        <w:rPr>
          <w:rFonts w:ascii="標楷體" w:eastAsia="標楷體" w:hAnsi="標楷體" w:cs="新細明體"/>
          <w:color w:val="262626"/>
          <w:kern w:val="0"/>
          <w:sz w:val="28"/>
          <w:szCs w:val="28"/>
        </w:rPr>
        <w:t>第十五條</w:t>
      </w:r>
      <w:r w:rsidRPr="00405BAD">
        <w:rPr>
          <w:rFonts w:ascii="標楷體" w:eastAsia="標楷體" w:hAnsi="標楷體" w:cs="新細明體" w:hint="eastAsia"/>
          <w:color w:val="262626"/>
          <w:kern w:val="0"/>
          <w:sz w:val="28"/>
          <w:szCs w:val="28"/>
        </w:rPr>
        <w:t xml:space="preserve">  </w:t>
      </w:r>
      <w:r w:rsidRPr="00405BAD">
        <w:rPr>
          <w:rFonts w:ascii="標楷體" w:eastAsia="標楷體" w:hAnsi="標楷體" w:cs="新細明體"/>
          <w:color w:val="262626"/>
          <w:kern w:val="0"/>
          <w:sz w:val="28"/>
          <w:szCs w:val="28"/>
        </w:rPr>
        <w:t>本辦法自發布日施行。</w:t>
      </w:r>
    </w:p>
    <w:p w:rsidR="001F2C73" w:rsidRDefault="001F2C73"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405BAD" w:rsidRDefault="00405BAD"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p>
    <w:p w:rsidR="001F2C73" w:rsidRDefault="001F2C73" w:rsidP="00133048">
      <w:pPr>
        <w:widowControl/>
        <w:snapToGrid w:val="0"/>
        <w:spacing w:beforeLines="50" w:before="180" w:line="440" w:lineRule="exact"/>
        <w:ind w:leftChars="50" w:left="2122" w:hangingChars="500" w:hanging="2002"/>
        <w:rPr>
          <w:rFonts w:ascii="新細明體" w:hAnsi="新細明體" w:cs="新細明體"/>
          <w:color w:val="262626"/>
          <w:kern w:val="0"/>
          <w:sz w:val="28"/>
          <w:szCs w:val="28"/>
        </w:rPr>
      </w:pPr>
      <w:r w:rsidRPr="001B119E">
        <w:rPr>
          <w:rFonts w:ascii="標楷體" w:eastAsia="標楷體" w:hAnsi="標楷體" w:hint="eastAsia"/>
          <w:b/>
          <w:color w:val="CC3300"/>
          <w:sz w:val="40"/>
          <w:szCs w:val="40"/>
        </w:rPr>
        <w:lastRenderedPageBreak/>
        <w:t>社會救助法</w:t>
      </w:r>
      <w:r w:rsidRPr="00A84F76">
        <w:rPr>
          <w:rFonts w:ascii="新細明體" w:hAnsi="新細明體" w:cs="新細明體" w:hint="eastAsia"/>
          <w:color w:val="262626"/>
          <w:kern w:val="0"/>
          <w:sz w:val="28"/>
          <w:szCs w:val="28"/>
        </w:rPr>
        <w:t>(</w:t>
      </w:r>
      <w:r w:rsidRPr="00A84F76">
        <w:rPr>
          <w:rFonts w:ascii="新細明體" w:hAnsi="新細明體" w:cs="新細明體"/>
          <w:color w:val="262626"/>
          <w:kern w:val="0"/>
          <w:sz w:val="28"/>
          <w:szCs w:val="28"/>
        </w:rPr>
        <w:t>民國 102 年 06 月 11 日</w:t>
      </w:r>
      <w:r w:rsidRPr="00A84F76">
        <w:rPr>
          <w:rFonts w:ascii="新細明體" w:hAnsi="新細明體" w:cs="新細明體" w:hint="eastAsia"/>
          <w:color w:val="262626"/>
          <w:kern w:val="0"/>
          <w:sz w:val="28"/>
          <w:szCs w:val="28"/>
        </w:rPr>
        <w:t>修正)</w:t>
      </w:r>
    </w:p>
    <w:p w:rsidR="001F2C73" w:rsidRPr="00A84F76" w:rsidRDefault="001F2C73" w:rsidP="00133048">
      <w:pPr>
        <w:widowControl/>
        <w:snapToGrid w:val="0"/>
        <w:spacing w:beforeLines="50" w:before="180" w:line="440" w:lineRule="exact"/>
        <w:ind w:leftChars="50" w:left="1520" w:hangingChars="500" w:hanging="1400"/>
        <w:rPr>
          <w:rFonts w:ascii="新細明體" w:hAnsi="新細明體" w:cs="新細明體"/>
          <w:color w:val="262626"/>
          <w:kern w:val="0"/>
          <w:sz w:val="28"/>
          <w:szCs w:val="28"/>
        </w:rPr>
      </w:pPr>
      <w:r w:rsidRPr="00A84F76">
        <w:rPr>
          <w:rFonts w:ascii="新細明體" w:hAnsi="新細明體" w:cs="新細明體"/>
          <w:color w:val="262626"/>
          <w:kern w:val="0"/>
          <w:sz w:val="28"/>
          <w:szCs w:val="28"/>
        </w:rPr>
        <w:t>第</w:t>
      </w:r>
      <w:r>
        <w:rPr>
          <w:rFonts w:ascii="新細明體" w:hAnsi="新細明體" w:cs="新細明體" w:hint="eastAsia"/>
          <w:color w:val="262626"/>
          <w:kern w:val="0"/>
          <w:sz w:val="28"/>
          <w:szCs w:val="28"/>
        </w:rPr>
        <w:t>十七</w:t>
      </w:r>
      <w:r w:rsidRPr="00A84F76">
        <w:rPr>
          <w:rFonts w:ascii="新細明體" w:hAnsi="新細明體" w:cs="新細明體"/>
          <w:color w:val="262626"/>
          <w:kern w:val="0"/>
          <w:sz w:val="28"/>
          <w:szCs w:val="28"/>
        </w:rPr>
        <w:t>條</w:t>
      </w:r>
      <w:r>
        <w:rPr>
          <w:rFonts w:ascii="新細明體" w:hAnsi="新細明體" w:cs="新細明體" w:hint="eastAsia"/>
          <w:color w:val="262626"/>
          <w:kern w:val="0"/>
          <w:sz w:val="28"/>
          <w:szCs w:val="28"/>
        </w:rPr>
        <w:t xml:space="preserve">  </w:t>
      </w:r>
      <w:r w:rsidRPr="00A84F76">
        <w:rPr>
          <w:rFonts w:ascii="新細明體" w:hAnsi="新細明體" w:cs="新細明體"/>
          <w:color w:val="262626"/>
          <w:kern w:val="0"/>
          <w:sz w:val="28"/>
          <w:szCs w:val="28"/>
        </w:rPr>
        <w:t>警察機關發現無家可歸之遊民，除其他法律另有規定外，應通知社政機關（單位）共同處理，並查明其身分及協助護送前往社會救助機構或社會福利機構安置輔導；其身分經查明者，立即通知其家屬。不願接受安置者，予以列冊並提供社會福利相關資訊。</w:t>
      </w:r>
    </w:p>
    <w:p w:rsidR="001F2C73" w:rsidRPr="00A84F76" w:rsidRDefault="001F2C73" w:rsidP="00133048">
      <w:pPr>
        <w:widowControl/>
        <w:snapToGrid w:val="0"/>
        <w:spacing w:beforeLines="50" w:before="180" w:line="440" w:lineRule="exact"/>
        <w:ind w:leftChars="600" w:left="1440"/>
        <w:rPr>
          <w:rFonts w:ascii="新細明體" w:hAnsi="新細明體" w:cs="新細明體"/>
          <w:color w:val="262626"/>
          <w:kern w:val="0"/>
          <w:sz w:val="28"/>
          <w:szCs w:val="28"/>
        </w:rPr>
      </w:pPr>
      <w:r w:rsidRPr="00A84F76">
        <w:rPr>
          <w:rFonts w:ascii="新細明體" w:hAnsi="新細明體" w:cs="新細明體"/>
          <w:color w:val="262626"/>
          <w:kern w:val="0"/>
          <w:sz w:val="28"/>
          <w:szCs w:val="28"/>
        </w:rPr>
        <w:t>有關遊民之安置及輔導規定，由直轄市、縣（市）主管機關定之。</w:t>
      </w:r>
    </w:p>
    <w:p w:rsidR="001F2C73" w:rsidRPr="001F2C73" w:rsidRDefault="001F2C73" w:rsidP="00133048">
      <w:pPr>
        <w:widowControl/>
        <w:snapToGrid w:val="0"/>
        <w:spacing w:beforeLines="50" w:before="180" w:line="440" w:lineRule="exact"/>
        <w:ind w:leftChars="600" w:left="1440"/>
        <w:rPr>
          <w:rFonts w:ascii="新細明體" w:hAnsi="新細明體" w:cs="新細明體"/>
          <w:color w:val="262626"/>
          <w:kern w:val="0"/>
          <w:sz w:val="28"/>
          <w:szCs w:val="28"/>
        </w:rPr>
      </w:pPr>
      <w:r w:rsidRPr="00A84F76">
        <w:rPr>
          <w:rFonts w:ascii="新細明體" w:hAnsi="新細明體" w:cs="新細明體"/>
          <w:color w:val="262626"/>
          <w:kern w:val="0"/>
          <w:sz w:val="28"/>
          <w:szCs w:val="28"/>
        </w:rPr>
        <w:t>為強化遊民之安置及輔導功能，應以直轄市、縣（市）為單位，並結合警政、衛政、社政、民政、法務及勞政機關（單位），建立遊民安置輔導體系，並定期召開遊民輔導聯繫會報。</w:t>
      </w:r>
    </w:p>
    <w:p w:rsidR="001F2C73" w:rsidRDefault="001F2C73" w:rsidP="00C529E3">
      <w:pPr>
        <w:widowControl/>
        <w:snapToGrid w:val="0"/>
        <w:spacing w:before="50" w:line="440" w:lineRule="exact"/>
        <w:rPr>
          <w:rFonts w:ascii="標楷體" w:eastAsia="標楷體" w:hAnsi="標楷體"/>
          <w:b/>
          <w:color w:val="CC3300"/>
          <w:sz w:val="40"/>
          <w:szCs w:val="40"/>
        </w:rPr>
      </w:pPr>
      <w:r>
        <w:rPr>
          <w:rFonts w:ascii="標楷體" w:eastAsia="標楷體" w:hAnsi="標楷體"/>
          <w:b/>
          <w:color w:val="CC3300"/>
          <w:sz w:val="40"/>
          <w:szCs w:val="40"/>
        </w:rPr>
        <w:br w:type="page"/>
      </w:r>
    </w:p>
    <w:p w:rsidR="001B119E" w:rsidRDefault="001B119E" w:rsidP="00133048">
      <w:pPr>
        <w:widowControl/>
        <w:snapToGrid w:val="0"/>
        <w:spacing w:beforeLines="50" w:before="180" w:line="440" w:lineRule="exact"/>
        <w:ind w:leftChars="50" w:left="2122" w:hangingChars="500" w:hanging="2002"/>
        <w:rPr>
          <w:rFonts w:ascii="新細明體" w:hAnsi="新細明體" w:cs="新細明體"/>
          <w:color w:val="262626"/>
          <w:kern w:val="0"/>
          <w:sz w:val="28"/>
          <w:szCs w:val="28"/>
        </w:rPr>
      </w:pPr>
      <w:r w:rsidRPr="001B119E">
        <w:rPr>
          <w:rFonts w:ascii="標楷體" w:eastAsia="標楷體" w:hAnsi="標楷體" w:hint="eastAsia"/>
          <w:b/>
          <w:color w:val="CC3300"/>
          <w:sz w:val="40"/>
          <w:szCs w:val="40"/>
        </w:rPr>
        <w:lastRenderedPageBreak/>
        <w:t>社會秩序維護法</w:t>
      </w:r>
      <w:r>
        <w:rPr>
          <w:rFonts w:ascii="新細明體" w:hAnsi="新細明體" w:cs="新細明體" w:hint="eastAsia"/>
          <w:color w:val="262626"/>
          <w:kern w:val="0"/>
          <w:sz w:val="28"/>
          <w:szCs w:val="28"/>
        </w:rPr>
        <w:t>(</w:t>
      </w:r>
      <w:r w:rsidRPr="001B119E">
        <w:rPr>
          <w:rFonts w:ascii="新細明體" w:hAnsi="新細明體" w:cs="新細明體"/>
          <w:color w:val="262626"/>
          <w:kern w:val="0"/>
          <w:sz w:val="28"/>
          <w:szCs w:val="28"/>
        </w:rPr>
        <w:t>民國 100 年 11 月 04 日</w:t>
      </w:r>
      <w:r>
        <w:rPr>
          <w:rFonts w:ascii="新細明體" w:hAnsi="新細明體" w:cs="新細明體" w:hint="eastAsia"/>
          <w:color w:val="262626"/>
          <w:kern w:val="0"/>
          <w:sz w:val="28"/>
          <w:szCs w:val="28"/>
        </w:rPr>
        <w:t>修正)</w:t>
      </w:r>
    </w:p>
    <w:p w:rsidR="001F2C73" w:rsidRPr="001F2C73" w:rsidRDefault="001F2C73" w:rsidP="00133048">
      <w:pPr>
        <w:widowControl/>
        <w:snapToGrid w:val="0"/>
        <w:spacing w:beforeLines="30" w:before="108" w:line="380" w:lineRule="exact"/>
        <w:ind w:leftChars="50" w:left="1800" w:hangingChars="600" w:hanging="168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第六十八條  有左列各款行為之一者，處三日以下拘留或新臺幣一萬二千元以下罰鍰：</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一、無正當理由，於公共場所、房屋近旁焚火而有危害安全之虞者。</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二、藉端滋擾住戶、工廠、公司行號、公共場所或公眾得出入之場所者。</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三、強買、強賣物品或強索財務者。</w:t>
      </w:r>
    </w:p>
    <w:p w:rsidR="001B119E" w:rsidRDefault="001B119E" w:rsidP="00133048">
      <w:pPr>
        <w:widowControl/>
        <w:snapToGrid w:val="0"/>
        <w:spacing w:beforeLines="30" w:before="108" w:line="380" w:lineRule="exact"/>
        <w:ind w:leftChars="50" w:left="1800" w:hangingChars="600" w:hanging="168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第七十一條  於主管機關明示禁止出入之處所，擅行出入不聽勸阻者，處新臺幣六千元以下罰鍰。</w:t>
      </w:r>
    </w:p>
    <w:p w:rsidR="001F2C73" w:rsidRPr="001F2C73" w:rsidRDefault="001B119E" w:rsidP="00133048">
      <w:pPr>
        <w:widowControl/>
        <w:snapToGrid w:val="0"/>
        <w:spacing w:beforeLines="30" w:before="108" w:line="380" w:lineRule="exact"/>
        <w:ind w:leftChars="50" w:left="1800" w:hangingChars="600" w:hanging="1680"/>
        <w:rPr>
          <w:rFonts w:ascii="新細明體" w:hAnsi="新細明體" w:cs="新細明體"/>
          <w:color w:val="262626"/>
          <w:kern w:val="0"/>
          <w:sz w:val="28"/>
          <w:szCs w:val="28"/>
        </w:rPr>
      </w:pPr>
      <w:r>
        <w:rPr>
          <w:rFonts w:ascii="新細明體" w:hAnsi="新細明體" w:cs="新細明體" w:hint="eastAsia"/>
          <w:color w:val="262626"/>
          <w:kern w:val="0"/>
          <w:sz w:val="28"/>
          <w:szCs w:val="28"/>
        </w:rPr>
        <w:t xml:space="preserve">第七十二條  </w:t>
      </w:r>
      <w:r w:rsidR="001F2C73" w:rsidRPr="001F2C73">
        <w:rPr>
          <w:rFonts w:ascii="新細明體" w:hAnsi="新細明體" w:cs="新細明體" w:hint="eastAsia"/>
          <w:color w:val="262626"/>
          <w:kern w:val="0"/>
          <w:sz w:val="28"/>
          <w:szCs w:val="28"/>
        </w:rPr>
        <w:t>有左列各款行為之一者，處新臺幣六千元以下罰鍰：</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一、於公共場所或公眾得出入之場所，酗酒滋事、謾罵喧鬧，不聽禁止者。</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二、無正當理由，擅吹警笛或擅發其他警號者。</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三、製造噪音或深夜喧嘩，妨害公眾安寧者。</w:t>
      </w:r>
    </w:p>
    <w:p w:rsidR="001B119E" w:rsidRPr="001B119E" w:rsidRDefault="001B119E" w:rsidP="00133048">
      <w:pPr>
        <w:widowControl/>
        <w:snapToGrid w:val="0"/>
        <w:spacing w:beforeLines="30" w:before="108" w:line="380" w:lineRule="exact"/>
        <w:ind w:leftChars="50" w:left="1800" w:hangingChars="600" w:hanging="168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第七十四條  有左列各款行為之一者，處新臺幣六千元以下罰鍰：</w:t>
      </w:r>
    </w:p>
    <w:p w:rsidR="001B119E" w:rsidRP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一、深夜遊蕩，行跡可疑，經詢無正當理由，不聽禁止而有危害安全之虞者。</w:t>
      </w:r>
    </w:p>
    <w:p w:rsidR="001B119E" w:rsidRP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二、無正當理由，隱藏於無人居住或無人看守之建築物、礦坑、壕洞、車、船或航空器內，而有危害安全之虞者。</w:t>
      </w:r>
    </w:p>
    <w:p w:rsidR="001B119E" w:rsidRP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三、收容或僱用身分不明之人，未即時向警察機關報告，而有危害安全之虞者。</w:t>
      </w:r>
    </w:p>
    <w:p w:rsidR="001B119E" w:rsidRP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四、未經警察機關許可，在公路兩旁，燃燒草木、雜物，有礙車輛駕駛人視線，影響交通安全者。</w:t>
      </w:r>
    </w:p>
    <w:p w:rsidR="001B119E" w:rsidRP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五、婚喪喜慶、迎神賽會結眾而行，未將經過路線報告警察機關，致礙公眾通行者。</w:t>
      </w:r>
    </w:p>
    <w:p w:rsidR="001B119E" w:rsidRDefault="001B119E"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B119E">
        <w:rPr>
          <w:rFonts w:ascii="新細明體" w:hAnsi="新細明體" w:cs="新細明體" w:hint="eastAsia"/>
          <w:color w:val="262626"/>
          <w:kern w:val="0"/>
          <w:sz w:val="28"/>
          <w:szCs w:val="28"/>
        </w:rPr>
        <w:t>六、無正當理由，停屍不殮、停厝不葬或藉故抬棺或抬屍滋擾者。</w:t>
      </w:r>
    </w:p>
    <w:p w:rsidR="001F2C73" w:rsidRPr="001F2C73" w:rsidRDefault="001F2C73" w:rsidP="00133048">
      <w:pPr>
        <w:widowControl/>
        <w:snapToGrid w:val="0"/>
        <w:spacing w:beforeLines="30" w:before="108" w:line="380" w:lineRule="exact"/>
        <w:ind w:leftChars="50" w:left="1800" w:hangingChars="600" w:hanging="168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第八十七條  有左列各款行為之一者，處三日以下拘留或新臺幣一萬八千元以下罰鍰：</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一、加暴行於人者。</w:t>
      </w:r>
    </w:p>
    <w:p w:rsidR="001F2C73" w:rsidRPr="001F2C73" w:rsidRDefault="001F2C73" w:rsidP="00133048">
      <w:pPr>
        <w:widowControl/>
        <w:snapToGrid w:val="0"/>
        <w:spacing w:beforeLines="30" w:before="108" w:line="380" w:lineRule="exact"/>
        <w:ind w:leftChars="750" w:left="2360" w:hangingChars="200" w:hanging="560"/>
        <w:rPr>
          <w:rFonts w:ascii="新細明體" w:hAnsi="新細明體" w:cs="新細明體"/>
          <w:color w:val="262626"/>
          <w:kern w:val="0"/>
          <w:sz w:val="28"/>
          <w:szCs w:val="28"/>
        </w:rPr>
      </w:pPr>
      <w:r w:rsidRPr="001F2C73">
        <w:rPr>
          <w:rFonts w:ascii="新細明體" w:hAnsi="新細明體" w:cs="新細明體" w:hint="eastAsia"/>
          <w:color w:val="262626"/>
          <w:kern w:val="0"/>
          <w:sz w:val="28"/>
          <w:szCs w:val="28"/>
        </w:rPr>
        <w:t>二、互相鬥毆者。</w:t>
      </w:r>
    </w:p>
    <w:p w:rsidR="001F2C73" w:rsidRDefault="001F2C73" w:rsidP="00032C72">
      <w:pPr>
        <w:widowControl/>
        <w:snapToGrid w:val="0"/>
        <w:spacing w:beforeLines="30" w:before="108" w:line="380" w:lineRule="exact"/>
        <w:ind w:leftChars="750" w:left="2360" w:hangingChars="200" w:hanging="560"/>
        <w:rPr>
          <w:rFonts w:ascii="標楷體" w:eastAsia="標楷體" w:hAnsi="標楷體"/>
          <w:b/>
          <w:color w:val="CC3300"/>
          <w:sz w:val="40"/>
          <w:szCs w:val="40"/>
        </w:rPr>
      </w:pPr>
      <w:r w:rsidRPr="001F2C73">
        <w:rPr>
          <w:rFonts w:ascii="新細明體" w:hAnsi="新細明體" w:cs="新細明體" w:hint="eastAsia"/>
          <w:color w:val="262626"/>
          <w:kern w:val="0"/>
          <w:sz w:val="28"/>
          <w:szCs w:val="28"/>
        </w:rPr>
        <w:t>三、意圖鬥毆而聚眾者。</w:t>
      </w:r>
    </w:p>
    <w:sectPr w:rsidR="001F2C73" w:rsidSect="00A84F76">
      <w:footerReference w:type="default" r:id="rId9"/>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3C" w:rsidRDefault="004A3E3C" w:rsidP="006D5F17">
      <w:r>
        <w:separator/>
      </w:r>
    </w:p>
  </w:endnote>
  <w:endnote w:type="continuationSeparator" w:id="0">
    <w:p w:rsidR="004A3E3C" w:rsidRDefault="004A3E3C" w:rsidP="006D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5516"/>
      <w:docPartObj>
        <w:docPartGallery w:val="Page Numbers (Bottom of Page)"/>
        <w:docPartUnique/>
      </w:docPartObj>
    </w:sdtPr>
    <w:sdtEndPr/>
    <w:sdtContent>
      <w:p w:rsidR="006D5F17" w:rsidRDefault="00836FB9" w:rsidP="00A84F76">
        <w:pPr>
          <w:pStyle w:val="a5"/>
          <w:jc w:val="center"/>
        </w:pPr>
        <w:r>
          <w:fldChar w:fldCharType="begin"/>
        </w:r>
        <w:r>
          <w:instrText xml:space="preserve"> PAGE   \* MERGEFORMAT </w:instrText>
        </w:r>
        <w:r>
          <w:fldChar w:fldCharType="separate"/>
        </w:r>
        <w:r w:rsidR="003D5D00" w:rsidRPr="003D5D00">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3C" w:rsidRDefault="004A3E3C" w:rsidP="006D5F17">
      <w:r>
        <w:separator/>
      </w:r>
    </w:p>
  </w:footnote>
  <w:footnote w:type="continuationSeparator" w:id="0">
    <w:p w:rsidR="004A3E3C" w:rsidRDefault="004A3E3C" w:rsidP="006D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610A"/>
    <w:multiLevelType w:val="hybridMultilevel"/>
    <w:tmpl w:val="D2A495BE"/>
    <w:lvl w:ilvl="0" w:tplc="D97AC1B4">
      <w:start w:val="1"/>
      <w:numFmt w:val="taiwaneseCountingThousand"/>
      <w:lvlText w:val="第%1條"/>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786704"/>
    <w:multiLevelType w:val="hybridMultilevel"/>
    <w:tmpl w:val="05DE567E"/>
    <w:lvl w:ilvl="0" w:tplc="4E6ACA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68041D"/>
    <w:multiLevelType w:val="hybridMultilevel"/>
    <w:tmpl w:val="F73C61BC"/>
    <w:lvl w:ilvl="0" w:tplc="C610E440">
      <w:start w:val="1"/>
      <w:numFmt w:val="taiwaneseCountingThousand"/>
      <w:lvlText w:val="%1、"/>
      <w:lvlJc w:val="left"/>
      <w:pPr>
        <w:ind w:left="1920" w:hanging="720"/>
      </w:pPr>
      <w:rPr>
        <w:rFonts w:hint="default"/>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F"/>
    <w:rsid w:val="00032C72"/>
    <w:rsid w:val="00042502"/>
    <w:rsid w:val="0005219F"/>
    <w:rsid w:val="00133048"/>
    <w:rsid w:val="001B119E"/>
    <w:rsid w:val="001F2C73"/>
    <w:rsid w:val="002467D8"/>
    <w:rsid w:val="002C5F25"/>
    <w:rsid w:val="002D2A6A"/>
    <w:rsid w:val="003559D2"/>
    <w:rsid w:val="00373374"/>
    <w:rsid w:val="003D5D00"/>
    <w:rsid w:val="00405BAD"/>
    <w:rsid w:val="00413C67"/>
    <w:rsid w:val="004A2C1D"/>
    <w:rsid w:val="004A3E3C"/>
    <w:rsid w:val="005011B0"/>
    <w:rsid w:val="00661117"/>
    <w:rsid w:val="00691AB7"/>
    <w:rsid w:val="006A555A"/>
    <w:rsid w:val="006D5F17"/>
    <w:rsid w:val="0070726F"/>
    <w:rsid w:val="00755F88"/>
    <w:rsid w:val="007A5A70"/>
    <w:rsid w:val="00836FB9"/>
    <w:rsid w:val="00865E2F"/>
    <w:rsid w:val="00A346B3"/>
    <w:rsid w:val="00A6577A"/>
    <w:rsid w:val="00A84F76"/>
    <w:rsid w:val="00B77971"/>
    <w:rsid w:val="00C2002F"/>
    <w:rsid w:val="00C26228"/>
    <w:rsid w:val="00C529E3"/>
    <w:rsid w:val="00C61BBC"/>
    <w:rsid w:val="00C714F2"/>
    <w:rsid w:val="00C905FE"/>
    <w:rsid w:val="00C95AAF"/>
    <w:rsid w:val="00DB63BB"/>
    <w:rsid w:val="00E01370"/>
    <w:rsid w:val="00E06D86"/>
    <w:rsid w:val="00E15037"/>
    <w:rsid w:val="00E3324C"/>
    <w:rsid w:val="00E757AD"/>
    <w:rsid w:val="00F016D8"/>
    <w:rsid w:val="00F23455"/>
    <w:rsid w:val="00F8174E"/>
    <w:rsid w:val="00FE7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9F"/>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F17"/>
    <w:pPr>
      <w:tabs>
        <w:tab w:val="center" w:pos="4153"/>
        <w:tab w:val="right" w:pos="8306"/>
      </w:tabs>
      <w:snapToGrid w:val="0"/>
    </w:pPr>
    <w:rPr>
      <w:sz w:val="20"/>
      <w:szCs w:val="20"/>
    </w:rPr>
  </w:style>
  <w:style w:type="character" w:customStyle="1" w:styleId="a4">
    <w:name w:val="頁首 字元"/>
    <w:basedOn w:val="a0"/>
    <w:link w:val="a3"/>
    <w:uiPriority w:val="99"/>
    <w:rsid w:val="006D5F17"/>
    <w:rPr>
      <w:rFonts w:ascii="Times New Roman" w:eastAsia="新細明體" w:hAnsi="Times New Roman" w:cs="Times New Roman"/>
      <w:sz w:val="20"/>
      <w:szCs w:val="20"/>
    </w:rPr>
  </w:style>
  <w:style w:type="paragraph" w:styleId="a5">
    <w:name w:val="footer"/>
    <w:basedOn w:val="a"/>
    <w:link w:val="a6"/>
    <w:uiPriority w:val="99"/>
    <w:unhideWhenUsed/>
    <w:rsid w:val="006D5F17"/>
    <w:pPr>
      <w:tabs>
        <w:tab w:val="center" w:pos="4153"/>
        <w:tab w:val="right" w:pos="8306"/>
      </w:tabs>
      <w:snapToGrid w:val="0"/>
    </w:pPr>
    <w:rPr>
      <w:sz w:val="20"/>
      <w:szCs w:val="20"/>
    </w:rPr>
  </w:style>
  <w:style w:type="character" w:customStyle="1" w:styleId="a6">
    <w:name w:val="頁尾 字元"/>
    <w:basedOn w:val="a0"/>
    <w:link w:val="a5"/>
    <w:uiPriority w:val="99"/>
    <w:rsid w:val="006D5F17"/>
    <w:rPr>
      <w:rFonts w:ascii="Times New Roman" w:eastAsia="新細明體" w:hAnsi="Times New Roman" w:cs="Times New Roman"/>
      <w:sz w:val="20"/>
      <w:szCs w:val="20"/>
    </w:rPr>
  </w:style>
  <w:style w:type="paragraph" w:styleId="a7">
    <w:name w:val="List Paragraph"/>
    <w:basedOn w:val="a"/>
    <w:uiPriority w:val="34"/>
    <w:qFormat/>
    <w:rsid w:val="00F8174E"/>
    <w:pPr>
      <w:ind w:leftChars="200" w:left="480"/>
    </w:pPr>
  </w:style>
  <w:style w:type="paragraph" w:styleId="HTML">
    <w:name w:val="HTML Preformatted"/>
    <w:basedOn w:val="a"/>
    <w:link w:val="HTML0"/>
    <w:uiPriority w:val="99"/>
    <w:semiHidden/>
    <w:unhideWhenUsed/>
    <w:rsid w:val="00A84F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A84F76"/>
    <w:rPr>
      <w:rFonts w:ascii="細明體" w:eastAsia="細明體" w:hAnsi="細明體" w:cs="細明體"/>
      <w:kern w:val="0"/>
      <w:szCs w:val="24"/>
    </w:rPr>
  </w:style>
  <w:style w:type="paragraph" w:styleId="a8">
    <w:name w:val="Balloon Text"/>
    <w:basedOn w:val="a"/>
    <w:link w:val="a9"/>
    <w:uiPriority w:val="99"/>
    <w:semiHidden/>
    <w:unhideWhenUsed/>
    <w:rsid w:val="00405B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5B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9F"/>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F17"/>
    <w:pPr>
      <w:tabs>
        <w:tab w:val="center" w:pos="4153"/>
        <w:tab w:val="right" w:pos="8306"/>
      </w:tabs>
      <w:snapToGrid w:val="0"/>
    </w:pPr>
    <w:rPr>
      <w:sz w:val="20"/>
      <w:szCs w:val="20"/>
    </w:rPr>
  </w:style>
  <w:style w:type="character" w:customStyle="1" w:styleId="a4">
    <w:name w:val="頁首 字元"/>
    <w:basedOn w:val="a0"/>
    <w:link w:val="a3"/>
    <w:uiPriority w:val="99"/>
    <w:rsid w:val="006D5F17"/>
    <w:rPr>
      <w:rFonts w:ascii="Times New Roman" w:eastAsia="新細明體" w:hAnsi="Times New Roman" w:cs="Times New Roman"/>
      <w:sz w:val="20"/>
      <w:szCs w:val="20"/>
    </w:rPr>
  </w:style>
  <w:style w:type="paragraph" w:styleId="a5">
    <w:name w:val="footer"/>
    <w:basedOn w:val="a"/>
    <w:link w:val="a6"/>
    <w:uiPriority w:val="99"/>
    <w:unhideWhenUsed/>
    <w:rsid w:val="006D5F17"/>
    <w:pPr>
      <w:tabs>
        <w:tab w:val="center" w:pos="4153"/>
        <w:tab w:val="right" w:pos="8306"/>
      </w:tabs>
      <w:snapToGrid w:val="0"/>
    </w:pPr>
    <w:rPr>
      <w:sz w:val="20"/>
      <w:szCs w:val="20"/>
    </w:rPr>
  </w:style>
  <w:style w:type="character" w:customStyle="1" w:styleId="a6">
    <w:name w:val="頁尾 字元"/>
    <w:basedOn w:val="a0"/>
    <w:link w:val="a5"/>
    <w:uiPriority w:val="99"/>
    <w:rsid w:val="006D5F17"/>
    <w:rPr>
      <w:rFonts w:ascii="Times New Roman" w:eastAsia="新細明體" w:hAnsi="Times New Roman" w:cs="Times New Roman"/>
      <w:sz w:val="20"/>
      <w:szCs w:val="20"/>
    </w:rPr>
  </w:style>
  <w:style w:type="paragraph" w:styleId="a7">
    <w:name w:val="List Paragraph"/>
    <w:basedOn w:val="a"/>
    <w:uiPriority w:val="34"/>
    <w:qFormat/>
    <w:rsid w:val="00F8174E"/>
    <w:pPr>
      <w:ind w:leftChars="200" w:left="480"/>
    </w:pPr>
  </w:style>
  <w:style w:type="paragraph" w:styleId="HTML">
    <w:name w:val="HTML Preformatted"/>
    <w:basedOn w:val="a"/>
    <w:link w:val="HTML0"/>
    <w:uiPriority w:val="99"/>
    <w:semiHidden/>
    <w:unhideWhenUsed/>
    <w:rsid w:val="00A84F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A84F76"/>
    <w:rPr>
      <w:rFonts w:ascii="細明體" w:eastAsia="細明體" w:hAnsi="細明體" w:cs="細明體"/>
      <w:kern w:val="0"/>
      <w:szCs w:val="24"/>
    </w:rPr>
  </w:style>
  <w:style w:type="paragraph" w:styleId="a8">
    <w:name w:val="Balloon Text"/>
    <w:basedOn w:val="a"/>
    <w:link w:val="a9"/>
    <w:uiPriority w:val="99"/>
    <w:semiHidden/>
    <w:unhideWhenUsed/>
    <w:rsid w:val="00405B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5B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27F3-8475-4971-8D93-38EF83C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414</Words>
  <Characters>2363</Characters>
  <Application>Microsoft Office Word</Application>
  <DocSecurity>0</DocSecurity>
  <Lines>19</Lines>
  <Paragraphs>5</Paragraphs>
  <ScaleCrop>false</ScaleCrop>
  <Company>HOME</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2017-12-13T08:02:00Z</cp:lastPrinted>
  <dcterms:created xsi:type="dcterms:W3CDTF">2015-01-26T07:55:00Z</dcterms:created>
  <dcterms:modified xsi:type="dcterms:W3CDTF">2017-12-13T08:07:00Z</dcterms:modified>
</cp:coreProperties>
</file>