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A6" w:rsidRPr="00100F9E" w:rsidRDefault="000E0983" w:rsidP="00100F9E">
      <w:pPr>
        <w:snapToGrid w:val="0"/>
        <w:spacing w:line="36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新竹市</w:t>
      </w:r>
      <w:proofErr w:type="gramStart"/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10</w:t>
      </w:r>
      <w:r w:rsidR="00435121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6</w:t>
      </w:r>
      <w:proofErr w:type="gramEnd"/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年度性別平等意識培力課程實施計畫</w:t>
      </w:r>
    </w:p>
    <w:p w:rsidR="000E0983" w:rsidRDefault="000E0983" w:rsidP="00045FF1">
      <w:pPr>
        <w:wordWrap w:val="0"/>
        <w:jc w:val="right"/>
      </w:pPr>
      <w:r>
        <w:rPr>
          <w:rFonts w:hint="eastAsia"/>
        </w:rPr>
        <w:t>10</w:t>
      </w:r>
      <w:r w:rsidR="007754E5">
        <w:rPr>
          <w:rFonts w:hint="eastAsia"/>
        </w:rPr>
        <w:t>6</w:t>
      </w:r>
      <w:r>
        <w:rPr>
          <w:rFonts w:hint="eastAsia"/>
        </w:rPr>
        <w:t>年</w:t>
      </w:r>
      <w:r w:rsidR="00345ACF">
        <w:rPr>
          <w:rFonts w:hint="eastAsia"/>
        </w:rPr>
        <w:t>9</w:t>
      </w:r>
      <w:r>
        <w:rPr>
          <w:rFonts w:hint="eastAsia"/>
        </w:rPr>
        <w:t>月</w:t>
      </w:r>
      <w:r w:rsidR="00345ACF">
        <w:rPr>
          <w:rFonts w:hint="eastAsia"/>
        </w:rPr>
        <w:t>5</w:t>
      </w:r>
      <w:r w:rsidR="00045FF1">
        <w:rPr>
          <w:rFonts w:hint="eastAsia"/>
        </w:rPr>
        <w:t>日核定</w:t>
      </w:r>
    </w:p>
    <w:p w:rsidR="000E0983" w:rsidRPr="00100F9E" w:rsidRDefault="000E0983" w:rsidP="00100F9E">
      <w:pPr>
        <w:pStyle w:val="a5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  <w:szCs w:val="24"/>
        </w:rPr>
      </w:pPr>
      <w:r w:rsidRPr="00100F9E">
        <w:rPr>
          <w:rFonts w:ascii="標楷體" w:eastAsia="標楷體" w:hAnsi="標楷體" w:hint="eastAsia"/>
          <w:szCs w:val="24"/>
        </w:rPr>
        <w:t>前言</w:t>
      </w:r>
    </w:p>
    <w:p w:rsidR="000E0983" w:rsidRPr="00225427" w:rsidRDefault="00FD695E" w:rsidP="00FD695E">
      <w:pPr>
        <w:pStyle w:val="a5"/>
        <w:ind w:firstLineChars="200" w:firstLine="480"/>
        <w:rPr>
          <w:rFonts w:ascii="標楷體" w:eastAsia="標楷體" w:hAnsi="標楷體"/>
        </w:rPr>
      </w:pPr>
      <w:r w:rsidRPr="00225427">
        <w:rPr>
          <w:rFonts w:ascii="標楷體" w:eastAsia="標楷體" w:hAnsi="標楷體" w:hint="eastAsia"/>
        </w:rPr>
        <w:t>隨著聯合國的</w:t>
      </w:r>
      <w:r w:rsidR="00452FB6">
        <w:rPr>
          <w:rFonts w:ascii="標楷體" w:eastAsia="標楷體" w:hAnsi="標楷體" w:hint="eastAsia"/>
        </w:rPr>
        <w:t>性別意識抬頭</w:t>
      </w:r>
      <w:r w:rsidRPr="00225427">
        <w:rPr>
          <w:rFonts w:ascii="標楷體" w:eastAsia="標楷體" w:hAnsi="標楷體" w:hint="eastAsia"/>
        </w:rPr>
        <w:t>趨勢，性別主流化成為社會基本價值與重視之議題。政府近年來努力推動性別平權政策，期望社會能夠消除性別歧視與性別盲</w:t>
      </w:r>
      <w:r w:rsidR="00225427" w:rsidRPr="00225427">
        <w:rPr>
          <w:rFonts w:ascii="標楷體" w:eastAsia="標楷體" w:hAnsi="標楷體" w:hint="eastAsia"/>
        </w:rPr>
        <w:t>，營造友善性別環境。</w:t>
      </w:r>
    </w:p>
    <w:p w:rsidR="00FD695E" w:rsidRPr="00225427" w:rsidRDefault="00355610" w:rsidP="000E0983">
      <w:pPr>
        <w:pStyle w:val="a5"/>
        <w:ind w:leftChars="0"/>
        <w:rPr>
          <w:rFonts w:ascii="標楷體" w:eastAsia="標楷體" w:hAnsi="標楷體"/>
        </w:rPr>
      </w:pPr>
      <w:r w:rsidRPr="00225427">
        <w:rPr>
          <w:rFonts w:ascii="標楷體" w:eastAsia="標楷體" w:hAnsi="標楷體" w:hint="eastAsia"/>
        </w:rPr>
        <w:t xml:space="preserve">    </w:t>
      </w:r>
      <w:r w:rsidR="00225427" w:rsidRPr="00225427">
        <w:rPr>
          <w:rFonts w:ascii="標楷體" w:eastAsia="標楷體" w:hAnsi="標楷體" w:hint="eastAsia"/>
        </w:rPr>
        <w:t>在各項專業服務領域中，無法具有性別敏感度思維融合於工作，</w:t>
      </w:r>
      <w:r w:rsidR="006B5C5E" w:rsidRPr="00225427">
        <w:rPr>
          <w:rFonts w:ascii="標楷體" w:eastAsia="標楷體" w:hAnsi="標楷體" w:hint="eastAsia"/>
        </w:rPr>
        <w:t>產生性別刻板印象外，</w:t>
      </w:r>
      <w:r w:rsidR="00225427" w:rsidRPr="00225427">
        <w:rPr>
          <w:rFonts w:ascii="標楷體" w:eastAsia="標楷體" w:hAnsi="標楷體" w:hint="eastAsia"/>
        </w:rPr>
        <w:t>更是造成性別差異的困境，因此培力相關人員且將</w:t>
      </w:r>
      <w:r w:rsidR="006B5C5E" w:rsidRPr="00225427">
        <w:rPr>
          <w:rFonts w:ascii="標楷體" w:eastAsia="標楷體" w:hAnsi="標楷體" w:hint="eastAsia"/>
        </w:rPr>
        <w:t>性別</w:t>
      </w:r>
      <w:r w:rsidR="00225427" w:rsidRPr="00225427">
        <w:rPr>
          <w:rFonts w:ascii="標楷體" w:eastAsia="標楷體" w:hAnsi="標楷體" w:hint="eastAsia"/>
        </w:rPr>
        <w:t>意識</w:t>
      </w:r>
      <w:r w:rsidR="006B5C5E" w:rsidRPr="00225427">
        <w:rPr>
          <w:rFonts w:ascii="標楷體" w:eastAsia="標楷體" w:hAnsi="標楷體" w:hint="eastAsia"/>
        </w:rPr>
        <w:t>觀念融入</w:t>
      </w:r>
      <w:r w:rsidR="00225427" w:rsidRPr="00225427">
        <w:rPr>
          <w:rFonts w:ascii="標楷體" w:eastAsia="標楷體" w:hAnsi="標楷體" w:hint="eastAsia"/>
        </w:rPr>
        <w:t>工作與</w:t>
      </w:r>
      <w:r w:rsidR="006B5C5E" w:rsidRPr="00225427">
        <w:rPr>
          <w:rFonts w:ascii="標楷體" w:eastAsia="標楷體" w:hAnsi="標楷體" w:hint="eastAsia"/>
        </w:rPr>
        <w:t>政策制訂中，讓性別平等的觀念整合於所有政策、計畫及方案中，有助於確保消弭所有因性別造成的差別，</w:t>
      </w:r>
      <w:r w:rsidR="00910550" w:rsidRPr="00225427">
        <w:rPr>
          <w:rFonts w:ascii="標楷體" w:eastAsia="標楷體" w:hAnsi="標楷體" w:hint="eastAsia"/>
        </w:rPr>
        <w:t>以保障</w:t>
      </w:r>
      <w:r w:rsidR="00225427" w:rsidRPr="00225427">
        <w:rPr>
          <w:rFonts w:ascii="標楷體" w:eastAsia="標楷體" w:hAnsi="標楷體" w:hint="eastAsia"/>
        </w:rPr>
        <w:t>所有市民的</w:t>
      </w:r>
      <w:r w:rsidR="00910550" w:rsidRPr="00225427">
        <w:rPr>
          <w:rFonts w:ascii="標楷體" w:eastAsia="標楷體" w:hAnsi="標楷體" w:hint="eastAsia"/>
        </w:rPr>
        <w:t>福利獲其保障。</w:t>
      </w:r>
    </w:p>
    <w:p w:rsidR="000E0983" w:rsidRPr="00225427" w:rsidRDefault="000E0983" w:rsidP="00100F9E">
      <w:pPr>
        <w:pStyle w:val="a5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225427">
        <w:rPr>
          <w:rFonts w:ascii="標楷體" w:eastAsia="標楷體" w:hAnsi="標楷體" w:hint="eastAsia"/>
        </w:rPr>
        <w:t>計畫目標</w:t>
      </w:r>
    </w:p>
    <w:p w:rsidR="000E0983" w:rsidRPr="00225427" w:rsidRDefault="00100F9E" w:rsidP="00AF6379">
      <w:pPr>
        <w:pStyle w:val="a5"/>
        <w:ind w:firstLineChars="200" w:firstLine="480"/>
        <w:jc w:val="both"/>
        <w:rPr>
          <w:rFonts w:ascii="標楷體" w:eastAsia="標楷體" w:hAnsi="標楷體"/>
        </w:rPr>
      </w:pPr>
      <w:r w:rsidRPr="00225427">
        <w:rPr>
          <w:rFonts w:ascii="標楷體" w:eastAsia="標楷體" w:hAnsi="標楷體" w:cs="標楷體" w:hint="eastAsia"/>
        </w:rPr>
        <w:t>提供本市公私部門</w:t>
      </w:r>
      <w:r w:rsidR="00225427" w:rsidRPr="00225427">
        <w:rPr>
          <w:rFonts w:ascii="標楷體" w:eastAsia="標楷體" w:hAnsi="標楷體" w:cs="標楷體" w:hint="eastAsia"/>
        </w:rPr>
        <w:t>相關</w:t>
      </w:r>
      <w:r w:rsidR="00AF6379" w:rsidRPr="00225427">
        <w:rPr>
          <w:rFonts w:ascii="標楷體" w:eastAsia="標楷體" w:hAnsi="標楷體" w:cs="標楷體" w:hint="eastAsia"/>
        </w:rPr>
        <w:t>專業</w:t>
      </w:r>
      <w:r w:rsidRPr="00225427">
        <w:rPr>
          <w:rFonts w:ascii="標楷體" w:eastAsia="標楷體" w:hAnsi="標楷體" w:cs="標楷體" w:hint="eastAsia"/>
        </w:rPr>
        <w:t>人員接受性別平</w:t>
      </w:r>
      <w:r w:rsidR="00AF6379" w:rsidRPr="00225427">
        <w:rPr>
          <w:rFonts w:ascii="標楷體" w:eastAsia="標楷體" w:hAnsi="標楷體" w:cs="標楷體" w:hint="eastAsia"/>
        </w:rPr>
        <w:t>等</w:t>
      </w:r>
      <w:r w:rsidRPr="00225427">
        <w:rPr>
          <w:rFonts w:ascii="標楷體" w:eastAsia="標楷體" w:hAnsi="標楷體" w:cs="標楷體" w:hint="eastAsia"/>
        </w:rPr>
        <w:t>意識培力之教育訓練課程，透過適切的課程規劃，</w:t>
      </w:r>
      <w:r w:rsidR="00AF6379" w:rsidRPr="00225427">
        <w:rPr>
          <w:rFonts w:ascii="標楷體" w:eastAsia="標楷體" w:hAnsi="標楷體" w:cs="標楷體" w:hint="eastAsia"/>
        </w:rPr>
        <w:t>除了解性別主流化工具使用外，更</w:t>
      </w:r>
      <w:r w:rsidRPr="00225427">
        <w:rPr>
          <w:rFonts w:ascii="標楷體" w:eastAsia="標楷體" w:hAnsi="標楷體" w:cs="標楷體" w:hint="eastAsia"/>
        </w:rPr>
        <w:t>促使</w:t>
      </w:r>
      <w:r w:rsidRPr="00225427">
        <w:rPr>
          <w:rFonts w:ascii="標楷體" w:eastAsia="標楷體" w:hAnsi="標楷體"/>
          <w:sz w:val="23"/>
          <w:szCs w:val="23"/>
        </w:rPr>
        <w:t>瞭解</w:t>
      </w:r>
      <w:r w:rsidR="00AF6379" w:rsidRPr="00225427">
        <w:rPr>
          <w:rFonts w:ascii="標楷體" w:eastAsia="標楷體" w:hAnsi="標楷體" w:hint="eastAsia"/>
          <w:sz w:val="23"/>
          <w:szCs w:val="23"/>
        </w:rPr>
        <w:t>性別平權的落實及運用</w:t>
      </w:r>
      <w:r w:rsidRPr="00225427">
        <w:rPr>
          <w:rFonts w:ascii="標楷體" w:eastAsia="標楷體" w:hAnsi="標楷體"/>
          <w:sz w:val="23"/>
          <w:szCs w:val="23"/>
        </w:rPr>
        <w:t>，</w:t>
      </w:r>
      <w:r w:rsidR="00AF6379" w:rsidRPr="00225427">
        <w:rPr>
          <w:rFonts w:ascii="標楷體" w:eastAsia="標楷體" w:hAnsi="標楷體" w:hint="eastAsia"/>
          <w:sz w:val="23"/>
          <w:szCs w:val="23"/>
        </w:rPr>
        <w:t>以利</w:t>
      </w:r>
      <w:r w:rsidRPr="00225427">
        <w:rPr>
          <w:rFonts w:ascii="標楷體" w:eastAsia="標楷體" w:hAnsi="標楷體"/>
          <w:sz w:val="23"/>
          <w:szCs w:val="23"/>
        </w:rPr>
        <w:t>提昇個人</w:t>
      </w:r>
      <w:r w:rsidRPr="00225427">
        <w:rPr>
          <w:rFonts w:ascii="標楷體" w:eastAsia="標楷體" w:hAnsi="標楷體" w:hint="eastAsia"/>
          <w:sz w:val="23"/>
          <w:szCs w:val="23"/>
        </w:rPr>
        <w:t>培養性別平等意識及</w:t>
      </w:r>
      <w:r w:rsidRPr="00225427">
        <w:rPr>
          <w:rFonts w:ascii="標楷體" w:eastAsia="標楷體" w:hAnsi="標楷體"/>
          <w:sz w:val="23"/>
          <w:szCs w:val="23"/>
        </w:rPr>
        <w:t>追求性別平等之能力</w:t>
      </w:r>
      <w:r w:rsidRPr="00225427">
        <w:rPr>
          <w:rFonts w:ascii="標楷體" w:eastAsia="標楷體" w:hAnsi="標楷體" w:cs="標楷體" w:hint="eastAsia"/>
        </w:rPr>
        <w:t>。</w:t>
      </w:r>
    </w:p>
    <w:p w:rsidR="000E0983" w:rsidRPr="00D9260F" w:rsidRDefault="000E0983" w:rsidP="00100F9E">
      <w:pPr>
        <w:pStyle w:val="a5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主辦單位</w:t>
      </w:r>
    </w:p>
    <w:p w:rsidR="000E0983" w:rsidRPr="00D9260F" w:rsidRDefault="000E0983" w:rsidP="000E0983">
      <w:pPr>
        <w:pStyle w:val="a5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新竹市政府(以下簡稱本府</w:t>
      </w:r>
      <w:r w:rsidR="00355610">
        <w:rPr>
          <w:rFonts w:ascii="標楷體" w:eastAsia="標楷體" w:hAnsi="標楷體" w:hint="eastAsia"/>
        </w:rPr>
        <w:t>)。</w:t>
      </w:r>
    </w:p>
    <w:p w:rsidR="000E0983" w:rsidRPr="00D9260F" w:rsidRDefault="000E0983" w:rsidP="00100F9E">
      <w:pPr>
        <w:pStyle w:val="a5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實施對象</w:t>
      </w:r>
    </w:p>
    <w:p w:rsidR="000E0983" w:rsidRPr="00D9260F" w:rsidRDefault="000E0983" w:rsidP="000E0983">
      <w:pPr>
        <w:pStyle w:val="a5"/>
        <w:ind w:leftChars="0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一、本府社會處同仁。</w:t>
      </w:r>
    </w:p>
    <w:p w:rsidR="000E0983" w:rsidRPr="00D9260F" w:rsidRDefault="000E0983" w:rsidP="000E0983">
      <w:pPr>
        <w:pStyle w:val="a5"/>
        <w:ind w:leftChars="0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二、</w:t>
      </w:r>
      <w:r w:rsidR="004611C3">
        <w:rPr>
          <w:rFonts w:ascii="標楷體" w:eastAsia="標楷體" w:hAnsi="標楷體" w:hint="eastAsia"/>
        </w:rPr>
        <w:t>本府性別平等工作小組成員。</w:t>
      </w:r>
    </w:p>
    <w:p w:rsidR="000E0983" w:rsidRDefault="000E0983" w:rsidP="00100F9E">
      <w:pPr>
        <w:pStyle w:val="a5"/>
        <w:ind w:leftChars="0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三、</w:t>
      </w:r>
      <w:r w:rsidR="004611C3" w:rsidRPr="00D9260F">
        <w:rPr>
          <w:rFonts w:ascii="標楷體" w:eastAsia="標楷體" w:hAnsi="標楷體" w:hint="eastAsia"/>
        </w:rPr>
        <w:t>本市民間從事婦女服務之事業人員。</w:t>
      </w:r>
    </w:p>
    <w:p w:rsidR="004611C3" w:rsidRPr="00100F9E" w:rsidRDefault="004611C3" w:rsidP="00100F9E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D9260F">
        <w:rPr>
          <w:rFonts w:ascii="標楷體" w:eastAsia="標楷體" w:hAnsi="標楷體" w:hint="eastAsia"/>
        </w:rPr>
        <w:t>本</w:t>
      </w:r>
      <w:r w:rsidR="00BE036C" w:rsidRPr="00D9260F">
        <w:rPr>
          <w:rFonts w:ascii="標楷體" w:eastAsia="標楷體" w:hAnsi="標楷體" w:hint="eastAsia"/>
        </w:rPr>
        <w:t>市</w:t>
      </w:r>
      <w:r w:rsidRPr="00D9260F">
        <w:rPr>
          <w:rFonts w:ascii="標楷體" w:eastAsia="標楷體" w:hAnsi="標楷體" w:hint="eastAsia"/>
        </w:rPr>
        <w:t>民間對於性別議題有興趣之事業人員</w:t>
      </w:r>
      <w:r>
        <w:rPr>
          <w:rFonts w:ascii="標楷體" w:eastAsia="標楷體" w:hAnsi="標楷體" w:hint="eastAsia"/>
        </w:rPr>
        <w:t>。</w:t>
      </w:r>
    </w:p>
    <w:p w:rsidR="00F52242" w:rsidRPr="00D9260F" w:rsidRDefault="000E0983" w:rsidP="00696069">
      <w:pPr>
        <w:pStyle w:val="a5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實施時間與地點</w:t>
      </w:r>
    </w:p>
    <w:p w:rsidR="00F52242" w:rsidRPr="00D9260F" w:rsidRDefault="00F52242" w:rsidP="00F52242">
      <w:pPr>
        <w:pStyle w:val="a5"/>
        <w:ind w:leftChars="0"/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>一、執行時間：10</w:t>
      </w:r>
      <w:r w:rsidR="007754E5">
        <w:rPr>
          <w:rFonts w:ascii="標楷體" w:eastAsia="標楷體" w:hAnsi="標楷體" w:hint="eastAsia"/>
        </w:rPr>
        <w:t>6</w:t>
      </w:r>
      <w:r w:rsidRPr="00D9260F">
        <w:rPr>
          <w:rFonts w:ascii="標楷體" w:eastAsia="標楷體" w:hAnsi="標楷體" w:hint="eastAsia"/>
        </w:rPr>
        <w:t>年</w:t>
      </w:r>
      <w:r w:rsidR="007754E5">
        <w:rPr>
          <w:rFonts w:ascii="標楷體" w:eastAsia="標楷體" w:hAnsi="標楷體" w:hint="eastAsia"/>
        </w:rPr>
        <w:t>9</w:t>
      </w:r>
      <w:r w:rsidRPr="00D9260F">
        <w:rPr>
          <w:rFonts w:ascii="標楷體" w:eastAsia="標楷體" w:hAnsi="標楷體" w:hint="eastAsia"/>
        </w:rPr>
        <w:t>月</w:t>
      </w:r>
      <w:r w:rsidR="00355610">
        <w:rPr>
          <w:rFonts w:ascii="標楷體" w:eastAsia="標楷體" w:hAnsi="標楷體" w:hint="eastAsia"/>
        </w:rPr>
        <w:t>至1</w:t>
      </w:r>
      <w:r w:rsidR="000E1883">
        <w:rPr>
          <w:rFonts w:ascii="標楷體" w:eastAsia="標楷體" w:hAnsi="標楷體" w:hint="eastAsia"/>
        </w:rPr>
        <w:t>2</w:t>
      </w:r>
      <w:r w:rsidR="005C32D9">
        <w:rPr>
          <w:rFonts w:ascii="標楷體" w:eastAsia="標楷體" w:hAnsi="標楷體" w:hint="eastAsia"/>
        </w:rPr>
        <w:t>月</w:t>
      </w:r>
    </w:p>
    <w:p w:rsidR="00F52242" w:rsidRPr="00D9260F" w:rsidRDefault="00F52242" w:rsidP="00F52242">
      <w:pPr>
        <w:rPr>
          <w:rFonts w:ascii="標楷體" w:eastAsia="標楷體" w:hAnsi="標楷體"/>
        </w:rPr>
      </w:pPr>
      <w:r w:rsidRPr="00D9260F">
        <w:rPr>
          <w:rFonts w:ascii="標楷體" w:eastAsia="標楷體" w:hAnsi="標楷體" w:hint="eastAsia"/>
        </w:rPr>
        <w:t xml:space="preserve">    二、地點：新竹市衛生</w:t>
      </w:r>
      <w:r w:rsidR="00D26781">
        <w:rPr>
          <w:rFonts w:ascii="標楷體" w:eastAsia="標楷體" w:hAnsi="標楷體" w:hint="eastAsia"/>
        </w:rPr>
        <w:t>社福</w:t>
      </w:r>
      <w:r w:rsidRPr="00D9260F">
        <w:rPr>
          <w:rFonts w:ascii="標楷體" w:eastAsia="標楷體" w:hAnsi="標楷體" w:hint="eastAsia"/>
        </w:rPr>
        <w:t>大樓</w:t>
      </w:r>
      <w:r w:rsidR="007754E5">
        <w:rPr>
          <w:rFonts w:ascii="標楷體" w:eastAsia="標楷體" w:hAnsi="標楷體" w:hint="eastAsia"/>
        </w:rPr>
        <w:t>8樓婦女館</w:t>
      </w:r>
      <w:bookmarkStart w:id="0" w:name="_GoBack"/>
      <w:bookmarkEnd w:id="0"/>
      <w:r w:rsidRPr="00D9260F">
        <w:rPr>
          <w:rFonts w:ascii="標楷體" w:eastAsia="標楷體" w:hAnsi="標楷體" w:hint="eastAsia"/>
        </w:rPr>
        <w:t>。</w:t>
      </w:r>
    </w:p>
    <w:p w:rsidR="00435121" w:rsidRDefault="00435121">
      <w:pPr>
        <w:widowControl/>
      </w:pPr>
      <w:r>
        <w:br w:type="page"/>
      </w:r>
    </w:p>
    <w:p w:rsidR="006A2E3C" w:rsidRDefault="006A2E3C">
      <w:pPr>
        <w:widowControl/>
      </w:pPr>
    </w:p>
    <w:tbl>
      <w:tblPr>
        <w:tblpPr w:leftFromText="180" w:rightFromText="180" w:vertAnchor="text" w:horzAnchor="margin" w:tblpXSpec="center" w:tblpY="520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43"/>
        <w:gridCol w:w="2268"/>
        <w:gridCol w:w="1418"/>
        <w:gridCol w:w="1559"/>
        <w:gridCol w:w="2301"/>
      </w:tblGrid>
      <w:tr w:rsidR="000E1883" w:rsidRPr="000E0983" w:rsidTr="00AA4B4F">
        <w:trPr>
          <w:trHeight w:val="383"/>
        </w:trPr>
        <w:tc>
          <w:tcPr>
            <w:tcW w:w="70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課程區分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日期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(暫訂)</w:t>
            </w:r>
          </w:p>
        </w:tc>
        <w:tc>
          <w:tcPr>
            <w:tcW w:w="1559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301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邀請講師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(暫訂)</w:t>
            </w:r>
          </w:p>
        </w:tc>
      </w:tr>
      <w:tr w:rsidR="000E1883" w:rsidRPr="000E0983" w:rsidTr="00AA4B4F">
        <w:tc>
          <w:tcPr>
            <w:tcW w:w="70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0E1883" w:rsidRPr="000E0983" w:rsidRDefault="000E1883" w:rsidP="00AA4B4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基礎課程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E1883" w:rsidRPr="000E0983" w:rsidRDefault="00AA4B4F" w:rsidP="00A16671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性別意識</w:t>
            </w:r>
            <w:r w:rsidR="00A16671">
              <w:rPr>
                <w:rFonts w:ascii="標楷體" w:eastAsia="標楷體" w:hAnsi="標楷體" w:cs="Times New Roman" w:hint="eastAsia"/>
                <w:szCs w:val="24"/>
              </w:rPr>
              <w:t>的影響力與案例</w:t>
            </w:r>
            <w:r w:rsidR="00650AE1">
              <w:rPr>
                <w:rFonts w:ascii="標楷體" w:eastAsia="標楷體" w:hAnsi="標楷體" w:cs="Times New Roman" w:hint="eastAsia"/>
                <w:szCs w:val="24"/>
              </w:rPr>
              <w:t>分享</w:t>
            </w:r>
          </w:p>
        </w:tc>
        <w:tc>
          <w:tcPr>
            <w:tcW w:w="1418" w:type="dxa"/>
          </w:tcPr>
          <w:p w:rsidR="000E1883" w:rsidRPr="000E0983" w:rsidRDefault="000E1883" w:rsidP="00AA4B4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224E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5224E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 w:rsidR="005224E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5224E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301" w:type="dxa"/>
          </w:tcPr>
          <w:p w:rsidR="000E1883" w:rsidRDefault="00BC5B3D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婦女新知基金會</w:t>
            </w:r>
          </w:p>
          <w:p w:rsidR="00BC5B3D" w:rsidRPr="000E0983" w:rsidRDefault="00BC5B3D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法律部秦季芳主任</w:t>
            </w:r>
          </w:p>
        </w:tc>
      </w:tr>
      <w:tr w:rsidR="000E1883" w:rsidRPr="000E0983" w:rsidTr="00AA4B4F">
        <w:tc>
          <w:tcPr>
            <w:tcW w:w="70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E1883" w:rsidRPr="000E0983" w:rsidRDefault="00AA4B4F" w:rsidP="00AA4B4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消除對婦女一切形式歧視公約(CEDAW)認識與落實</w:t>
            </w:r>
          </w:p>
        </w:tc>
        <w:tc>
          <w:tcPr>
            <w:tcW w:w="141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0E1883" w:rsidRPr="000E0983" w:rsidRDefault="000E1883" w:rsidP="00AA4B4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435121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04794F" w:rsidRPr="000E0983" w:rsidRDefault="0004794F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301" w:type="dxa"/>
          </w:tcPr>
          <w:p w:rsidR="00A16671" w:rsidRDefault="00A16671" w:rsidP="00A16671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婦女權益促進發展基金會</w:t>
            </w:r>
          </w:p>
          <w:p w:rsidR="000E1883" w:rsidRPr="00337E4C" w:rsidRDefault="00A16671" w:rsidP="00A16671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顏詩怡組長</w:t>
            </w:r>
          </w:p>
        </w:tc>
      </w:tr>
      <w:tr w:rsidR="000E1883" w:rsidRPr="000E0983" w:rsidTr="00AA4B4F">
        <w:tc>
          <w:tcPr>
            <w:tcW w:w="708" w:type="dxa"/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2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883" w:rsidRPr="000E0983" w:rsidRDefault="00AA4B4F" w:rsidP="00AA4B4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性別主流化的概念與</w:t>
            </w:r>
            <w:r w:rsidR="00BC5B3D">
              <w:rPr>
                <w:rFonts w:ascii="標楷體" w:eastAsia="標楷體" w:hAnsi="標楷體" w:cs="Times New Roman" w:hint="eastAsia"/>
                <w:szCs w:val="24"/>
              </w:rPr>
              <w:t>工具</w:t>
            </w:r>
            <w:r>
              <w:rPr>
                <w:rFonts w:ascii="標楷體" w:eastAsia="標楷體" w:hAnsi="標楷體" w:cs="Times New Roman" w:hint="eastAsia"/>
                <w:szCs w:val="24"/>
              </w:rPr>
              <w:t>運用</w:t>
            </w:r>
            <w:r w:rsidR="00BC5B3D">
              <w:rPr>
                <w:rFonts w:ascii="標楷體" w:eastAsia="標楷體" w:hAnsi="標楷體" w:cs="Times New Roman" w:hint="eastAsia"/>
                <w:szCs w:val="24"/>
              </w:rPr>
              <w:t>實例分享</w:t>
            </w:r>
          </w:p>
        </w:tc>
        <w:tc>
          <w:tcPr>
            <w:tcW w:w="1418" w:type="dxa"/>
            <w:shd w:val="clear" w:color="auto" w:fill="auto"/>
          </w:tcPr>
          <w:p w:rsidR="000E1883" w:rsidRPr="000E0983" w:rsidRDefault="00435121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E1883"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04794F">
              <w:rPr>
                <w:rFonts w:ascii="標楷體" w:eastAsia="標楷體" w:hAnsi="標楷體" w:cs="Times New Roman" w:hint="eastAsia"/>
                <w:szCs w:val="24"/>
              </w:rPr>
              <w:t>03</w:t>
            </w:r>
            <w:r w:rsidR="000E1883" w:rsidRPr="000E098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0E1883" w:rsidRPr="000E0983" w:rsidRDefault="000E1883" w:rsidP="00AA4B4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9476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1883" w:rsidRPr="000E0983" w:rsidRDefault="00894767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0E1883" w:rsidRPr="000E0983">
              <w:rPr>
                <w:rFonts w:ascii="標楷體" w:eastAsia="標楷體" w:hAnsi="標楷體" w:cs="Times New Roman" w:hint="eastAsia"/>
                <w:szCs w:val="24"/>
              </w:rPr>
              <w:t>:00~1</w:t>
            </w:r>
            <w:r w:rsidR="0083303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E1883" w:rsidRPr="000E0983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  <w:p w:rsidR="000E1883" w:rsidRPr="000E0983" w:rsidRDefault="000E1883" w:rsidP="00AA4B4F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301" w:type="dxa"/>
            <w:shd w:val="clear" w:color="auto" w:fill="auto"/>
          </w:tcPr>
          <w:p w:rsidR="00BC5B3D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暨南大學社會政策與社會工作學系</w:t>
            </w:r>
          </w:p>
          <w:p w:rsidR="000E1883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許雅惠副教授</w:t>
            </w:r>
          </w:p>
        </w:tc>
      </w:tr>
      <w:tr w:rsidR="00BC5B3D" w:rsidRPr="000E0983" w:rsidTr="00430CF2">
        <w:tc>
          <w:tcPr>
            <w:tcW w:w="708" w:type="dxa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B3D" w:rsidRPr="000E0983" w:rsidRDefault="00BC5B3D" w:rsidP="00BC5B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進階課程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B3D" w:rsidRPr="000E0983" w:rsidRDefault="00BC5B3D" w:rsidP="00BC5B3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性別預算基本概念及範例</w:t>
            </w:r>
          </w:p>
        </w:tc>
        <w:tc>
          <w:tcPr>
            <w:tcW w:w="1418" w:type="dxa"/>
            <w:shd w:val="clear" w:color="auto" w:fill="auto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BC5B3D" w:rsidRPr="000E0983" w:rsidRDefault="00BC5B3D" w:rsidP="00BC5B3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C5B3D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301" w:type="dxa"/>
            <w:shd w:val="clear" w:color="auto" w:fill="auto"/>
          </w:tcPr>
          <w:p w:rsidR="00BC5B3D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國立聯合大學資訊與社會研究所</w:t>
            </w:r>
          </w:p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李威霆助理教授</w:t>
            </w:r>
          </w:p>
        </w:tc>
      </w:tr>
      <w:tr w:rsidR="00BC5B3D" w:rsidRPr="000E0983" w:rsidTr="00AA4B4F">
        <w:tc>
          <w:tcPr>
            <w:tcW w:w="708" w:type="dxa"/>
          </w:tcPr>
          <w:p w:rsidR="00BC5B3D" w:rsidRPr="000E0983" w:rsidRDefault="00BC5B3D" w:rsidP="00BC5B3D">
            <w:pPr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BC5B3D" w:rsidRPr="000E0983" w:rsidRDefault="00BC5B3D" w:rsidP="00BC5B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C5B3D" w:rsidRPr="000E0983" w:rsidRDefault="000067FD" w:rsidP="00BC5B3D">
            <w:pPr>
              <w:rPr>
                <w:rFonts w:ascii="標楷體" w:eastAsia="標楷體" w:hAnsi="標楷體" w:cs="Times New Roman"/>
                <w:szCs w:val="24"/>
              </w:rPr>
            </w:pPr>
            <w:hyperlink r:id="rId9" w:history="1">
              <w:r w:rsidR="00BC5B3D" w:rsidRPr="000E0983">
                <w:rPr>
                  <w:rFonts w:ascii="標楷體" w:eastAsia="標楷體" w:hAnsi="標楷體" w:cs="Times New Roman"/>
                  <w:szCs w:val="24"/>
                </w:rPr>
                <w:t>性別</w:t>
              </w:r>
              <w:r w:rsidR="00BC5B3D">
                <w:rPr>
                  <w:rFonts w:ascii="標楷體" w:eastAsia="標楷體" w:hAnsi="標楷體" w:cs="Times New Roman" w:hint="eastAsia"/>
                  <w:szCs w:val="24"/>
                </w:rPr>
                <w:t>統計</w:t>
              </w:r>
              <w:r w:rsidR="00BC5B3D" w:rsidRPr="000E0983">
                <w:rPr>
                  <w:rFonts w:ascii="標楷體" w:eastAsia="標楷體" w:hAnsi="標楷體" w:cs="Times New Roman"/>
                  <w:szCs w:val="24"/>
                </w:rPr>
                <w:t>分析</w:t>
              </w:r>
            </w:hyperlink>
            <w:r w:rsidR="00BC5B3D">
              <w:rPr>
                <w:rFonts w:ascii="標楷體" w:eastAsia="標楷體" w:hAnsi="標楷體" w:cs="Times New Roman" w:hint="eastAsia"/>
                <w:szCs w:val="24"/>
              </w:rPr>
              <w:t>與預算及政策之結合</w:t>
            </w:r>
          </w:p>
        </w:tc>
        <w:tc>
          <w:tcPr>
            <w:tcW w:w="1418" w:type="dxa"/>
            <w:shd w:val="clear" w:color="auto" w:fill="auto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24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BC5B3D" w:rsidRPr="000E0983" w:rsidRDefault="00F91717" w:rsidP="00BC5B3D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301" w:type="dxa"/>
            <w:shd w:val="clear" w:color="auto" w:fill="auto"/>
          </w:tcPr>
          <w:p w:rsidR="00BC5B3D" w:rsidRPr="00536260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中華心理衛生協會張菊惠副理事長</w:t>
            </w:r>
          </w:p>
        </w:tc>
      </w:tr>
      <w:tr w:rsidR="00BC5B3D" w:rsidRPr="000E0983" w:rsidTr="00AA4B4F">
        <w:tc>
          <w:tcPr>
            <w:tcW w:w="708" w:type="dxa"/>
          </w:tcPr>
          <w:p w:rsidR="00BC5B3D" w:rsidRPr="000E0983" w:rsidRDefault="00BC5B3D" w:rsidP="00BC5B3D">
            <w:pPr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BC5B3D" w:rsidRPr="000E0983" w:rsidRDefault="00BC5B3D" w:rsidP="00BC5B3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5B3D" w:rsidRPr="000E0983" w:rsidRDefault="00BC5B3D" w:rsidP="00BC5B3D">
            <w:pPr>
              <w:rPr>
                <w:rFonts w:ascii="標楷體" w:eastAsia="標楷體" w:hAnsi="標楷體" w:cs="Times New Roman"/>
                <w:szCs w:val="24"/>
              </w:rPr>
            </w:pPr>
            <w:r w:rsidRPr="00F52242">
              <w:rPr>
                <w:rFonts w:ascii="標楷體" w:eastAsia="標楷體" w:hAnsi="標楷體" w:cs="Times New Roman"/>
                <w:szCs w:val="24"/>
              </w:rPr>
              <w:t>性別影響評估理念與實務</w:t>
            </w:r>
          </w:p>
        </w:tc>
        <w:tc>
          <w:tcPr>
            <w:tcW w:w="1418" w:type="dxa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BC5B3D" w:rsidRPr="000E0983" w:rsidRDefault="00F91717" w:rsidP="00BC5B3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09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BC5B3D" w:rsidRPr="000E0983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E0983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  <w:tc>
          <w:tcPr>
            <w:tcW w:w="2301" w:type="dxa"/>
          </w:tcPr>
          <w:p w:rsidR="00BC5B3D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暨南大學社會政策與社會工作學系</w:t>
            </w:r>
          </w:p>
          <w:p w:rsidR="00BC5B3D" w:rsidRPr="00536260" w:rsidRDefault="00BC5B3D" w:rsidP="00BC5B3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許雅惠副教授</w:t>
            </w:r>
          </w:p>
        </w:tc>
      </w:tr>
    </w:tbl>
    <w:p w:rsidR="00F52242" w:rsidRPr="003A4165" w:rsidRDefault="00F52242" w:rsidP="00F5224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4165">
        <w:rPr>
          <w:rFonts w:ascii="標楷體" w:eastAsia="標楷體" w:hAnsi="標楷體" w:hint="eastAsia"/>
        </w:rPr>
        <w:t>課程內容：</w:t>
      </w:r>
    </w:p>
    <w:p w:rsidR="00045FF1" w:rsidRPr="0035714C" w:rsidRDefault="00045FF1" w:rsidP="00045FF1">
      <w:pPr>
        <w:pStyle w:val="2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</w:rPr>
      </w:pPr>
      <w:r w:rsidRPr="0035714C">
        <w:rPr>
          <w:rFonts w:ascii="標楷體" w:eastAsia="標楷體" w:hAnsi="標楷體" w:cs="Times New Roman" w:hint="eastAsia"/>
        </w:rPr>
        <w:t>經費來源：</w:t>
      </w:r>
    </w:p>
    <w:p w:rsidR="00045FF1" w:rsidRDefault="00045FF1" w:rsidP="00BE036C">
      <w:pPr>
        <w:pStyle w:val="1"/>
        <w:snapToGrid w:val="0"/>
        <w:spacing w:line="360" w:lineRule="auto"/>
        <w:ind w:leftChars="178" w:left="427" w:firstLineChars="22" w:firstLine="53"/>
        <w:jc w:val="both"/>
        <w:rPr>
          <w:rFonts w:ascii="標楷體" w:eastAsia="標楷體" w:hAnsi="標楷體" w:cs="標楷體"/>
        </w:rPr>
      </w:pPr>
      <w:proofErr w:type="gramStart"/>
      <w:r w:rsidRPr="00045FF1">
        <w:rPr>
          <w:rFonts w:ascii="標楷體" w:eastAsia="標楷體" w:hAnsi="標楷體" w:cs="標楷體" w:hint="eastAsia"/>
        </w:rPr>
        <w:t>10</w:t>
      </w:r>
      <w:r w:rsidR="00A16671">
        <w:rPr>
          <w:rFonts w:ascii="標楷體" w:eastAsia="標楷體" w:hAnsi="標楷體" w:cs="標楷體" w:hint="eastAsia"/>
        </w:rPr>
        <w:t>6</w:t>
      </w:r>
      <w:proofErr w:type="gramEnd"/>
      <w:r w:rsidRPr="00045FF1">
        <w:rPr>
          <w:rFonts w:ascii="標楷體" w:eastAsia="標楷體" w:hAnsi="標楷體" w:cs="標楷體" w:hint="eastAsia"/>
        </w:rPr>
        <w:t>年度公益彩券盈餘</w:t>
      </w:r>
      <w:r w:rsidR="0088698E">
        <w:rPr>
          <w:rFonts w:ascii="標楷體" w:eastAsia="標楷體" w:hAnsi="標楷體" w:cs="Times New Roman" w:hint="eastAsia"/>
        </w:rPr>
        <w:t>分配基金</w:t>
      </w:r>
      <w:r w:rsidRPr="00045FF1">
        <w:rPr>
          <w:rFonts w:ascii="標楷體" w:eastAsia="標楷體" w:hAnsi="標楷體" w:cs="標楷體" w:hint="eastAsia"/>
        </w:rPr>
        <w:t>-社會福利服務計畫-婦女福利服務-服務費用項下支應。</w:t>
      </w:r>
    </w:p>
    <w:p w:rsidR="00F52242" w:rsidRPr="003A4165" w:rsidRDefault="00AD527D" w:rsidP="00BF5D1A">
      <w:pPr>
        <w:pStyle w:val="1"/>
        <w:snapToGrid w:val="0"/>
        <w:ind w:leftChars="0" w:left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捌</w:t>
      </w:r>
      <w:r w:rsidR="00BF5D1A">
        <w:rPr>
          <w:rFonts w:ascii="標楷體" w:eastAsia="標楷體" w:hAnsi="標楷體" w:cs="標楷體" w:hint="eastAsia"/>
        </w:rPr>
        <w:t>、</w:t>
      </w:r>
      <w:r w:rsidR="00F52242" w:rsidRPr="003A4165">
        <w:rPr>
          <w:rFonts w:ascii="標楷體" w:eastAsia="標楷體" w:hAnsi="標楷體" w:cs="標楷體" w:hint="eastAsia"/>
        </w:rPr>
        <w:t>預期效益</w:t>
      </w:r>
    </w:p>
    <w:p w:rsidR="00F52242" w:rsidRPr="0035714C" w:rsidRDefault="00BF5D1A" w:rsidP="00BF5D1A">
      <w:pPr>
        <w:pStyle w:val="1"/>
        <w:snapToGrid w:val="0"/>
        <w:spacing w:line="360" w:lineRule="auto"/>
        <w:ind w:leftChars="268" w:left="1152" w:hangingChars="212" w:hanging="50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</w:t>
      </w:r>
      <w:r w:rsidR="00290E2B">
        <w:rPr>
          <w:rFonts w:ascii="標楷體" w:eastAsia="標楷體" w:hAnsi="標楷體" w:cs="標楷體" w:hint="eastAsia"/>
        </w:rPr>
        <w:t>每場次</w:t>
      </w:r>
      <w:r w:rsidR="00F52242" w:rsidRPr="0035714C">
        <w:rPr>
          <w:rFonts w:ascii="標楷體" w:eastAsia="標楷體" w:hAnsi="標楷體" w:cs="標楷體" w:hint="eastAsia"/>
        </w:rPr>
        <w:t>邀請本市公私部門婦女服務工作人員</w:t>
      </w:r>
      <w:r w:rsidR="00D26781">
        <w:rPr>
          <w:rFonts w:ascii="標楷體" w:eastAsia="標楷體" w:hAnsi="標楷體" w:cs="標楷體" w:hint="eastAsia"/>
        </w:rPr>
        <w:t>約</w:t>
      </w:r>
      <w:r w:rsidR="00290E2B">
        <w:rPr>
          <w:rFonts w:ascii="標楷體" w:eastAsia="標楷體" w:hAnsi="標楷體" w:cs="標楷體" w:hint="eastAsia"/>
        </w:rPr>
        <w:t>20至</w:t>
      </w:r>
      <w:r w:rsidR="009D59FD">
        <w:rPr>
          <w:rFonts w:ascii="標楷體" w:eastAsia="標楷體" w:hAnsi="標楷體" w:cs="標楷體" w:hint="eastAsia"/>
        </w:rPr>
        <w:t>30</w:t>
      </w:r>
      <w:r w:rsidR="00F52242" w:rsidRPr="0035714C">
        <w:rPr>
          <w:rFonts w:ascii="標楷體" w:eastAsia="標楷體" w:hAnsi="標楷體" w:cs="標楷體" w:hint="eastAsia"/>
        </w:rPr>
        <w:t>人</w:t>
      </w:r>
      <w:r w:rsidR="00290E2B">
        <w:rPr>
          <w:rFonts w:ascii="標楷體" w:eastAsia="標楷體" w:hAnsi="標楷體" w:cs="標楷體" w:hint="eastAsia"/>
        </w:rPr>
        <w:t>，預期總參與達1</w:t>
      </w:r>
      <w:r w:rsidR="00AD527D">
        <w:rPr>
          <w:rFonts w:ascii="標楷體" w:eastAsia="標楷體" w:hAnsi="標楷體" w:cs="標楷體" w:hint="eastAsia"/>
        </w:rPr>
        <w:t>8</w:t>
      </w:r>
      <w:r w:rsidR="00290E2B">
        <w:rPr>
          <w:rFonts w:ascii="標楷體" w:eastAsia="標楷體" w:hAnsi="標楷體" w:cs="標楷體" w:hint="eastAsia"/>
        </w:rPr>
        <w:t>0人次</w:t>
      </w:r>
      <w:r w:rsidR="00F52242" w:rsidRPr="0035714C">
        <w:rPr>
          <w:rFonts w:ascii="標楷體" w:eastAsia="標楷體" w:hAnsi="標楷體" w:cs="標楷體" w:hint="eastAsia"/>
        </w:rPr>
        <w:t>，</w:t>
      </w:r>
      <w:r w:rsidR="0018786E">
        <w:rPr>
          <w:rFonts w:ascii="標楷體" w:eastAsia="標楷體" w:hAnsi="標楷體" w:cs="標楷體" w:hint="eastAsia"/>
        </w:rPr>
        <w:t>透過</w:t>
      </w:r>
      <w:r w:rsidR="00F52242" w:rsidRPr="0035714C">
        <w:rPr>
          <w:rFonts w:ascii="標楷體" w:eastAsia="標楷體" w:hAnsi="標楷體" w:cs="標楷體" w:hint="eastAsia"/>
        </w:rPr>
        <w:t>專業領域學者專家之教育訓練，提升服務品質及專業素養，</w:t>
      </w:r>
      <w:r w:rsidR="00AC6FB6">
        <w:rPr>
          <w:rFonts w:ascii="標楷體" w:eastAsia="標楷體" w:hAnsi="標楷體" w:cs="標楷體" w:hint="eastAsia"/>
        </w:rPr>
        <w:t>落實性別平等權益，</w:t>
      </w:r>
      <w:r w:rsidR="00EB369F">
        <w:rPr>
          <w:rFonts w:ascii="標楷體" w:eastAsia="標楷體" w:hAnsi="標楷體" w:cs="標楷體" w:hint="eastAsia"/>
        </w:rPr>
        <w:t>在計畫制定及</w:t>
      </w:r>
      <w:r w:rsidR="00EB369F" w:rsidRPr="0035714C">
        <w:rPr>
          <w:rFonts w:ascii="標楷體" w:eastAsia="標楷體" w:hAnsi="標楷體" w:cs="標楷體" w:hint="eastAsia"/>
        </w:rPr>
        <w:t>服務</w:t>
      </w:r>
      <w:r w:rsidR="00EB369F">
        <w:rPr>
          <w:rFonts w:ascii="標楷體" w:eastAsia="標楷體" w:hAnsi="標楷體" w:cs="標楷體" w:hint="eastAsia"/>
        </w:rPr>
        <w:t>中</w:t>
      </w:r>
      <w:r w:rsidR="00AC6FB6">
        <w:rPr>
          <w:rFonts w:ascii="標楷體" w:eastAsia="標楷體" w:hAnsi="標楷體" w:cs="標楷體" w:hint="eastAsia"/>
        </w:rPr>
        <w:t>為</w:t>
      </w:r>
      <w:r w:rsidR="00F52242" w:rsidRPr="0035714C">
        <w:rPr>
          <w:rFonts w:ascii="標楷體" w:eastAsia="標楷體" w:hAnsi="標楷體" w:cs="標楷體" w:hint="eastAsia"/>
        </w:rPr>
        <w:t>本市婦女</w:t>
      </w:r>
      <w:r w:rsidR="00AC6FB6">
        <w:rPr>
          <w:rFonts w:ascii="標楷體" w:eastAsia="標楷體" w:hAnsi="標楷體" w:cs="標楷體" w:hint="eastAsia"/>
        </w:rPr>
        <w:t>權益</w:t>
      </w:r>
      <w:r w:rsidR="00EB369F" w:rsidRPr="00EB369F">
        <w:rPr>
          <w:rFonts w:ascii="標楷體" w:eastAsia="標楷體" w:hAnsi="標楷體" w:cs="標楷體"/>
        </w:rPr>
        <w:t>提供多元且周延之福利服務</w:t>
      </w:r>
      <w:r w:rsidR="00F52242" w:rsidRPr="0035714C">
        <w:rPr>
          <w:rFonts w:ascii="標楷體" w:eastAsia="標楷體" w:hAnsi="標楷體" w:cs="標楷體" w:hint="eastAsia"/>
        </w:rPr>
        <w:t>。</w:t>
      </w:r>
    </w:p>
    <w:p w:rsidR="00F52242" w:rsidRPr="00EB369F" w:rsidRDefault="00BF5D1A" w:rsidP="00BF5D1A">
      <w:pPr>
        <w:pStyle w:val="1"/>
        <w:snapToGrid w:val="0"/>
        <w:spacing w:line="360" w:lineRule="auto"/>
        <w:ind w:leftChars="268" w:left="1152" w:hangingChars="212" w:hanging="50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</w:t>
      </w:r>
      <w:r w:rsidR="00F52242" w:rsidRPr="0035714C">
        <w:rPr>
          <w:rFonts w:ascii="標楷體" w:eastAsia="標楷體" w:hAnsi="標楷體" w:cs="標楷體" w:hint="eastAsia"/>
        </w:rPr>
        <w:t>增強本市公私部門之工作人員性別意識，培養公私夥伴關係，推展性別平權意識，促進本市婦女權益。</w:t>
      </w:r>
    </w:p>
    <w:p w:rsidR="000E0983" w:rsidRPr="00F52242" w:rsidRDefault="00BF5D1A" w:rsidP="00BF5D1A">
      <w:pPr>
        <w:pStyle w:val="1"/>
        <w:snapToGrid w:val="0"/>
        <w:spacing w:line="360" w:lineRule="auto"/>
        <w:ind w:leftChars="0" w:left="0"/>
        <w:jc w:val="both"/>
      </w:pPr>
      <w:r>
        <w:rPr>
          <w:rFonts w:ascii="標楷體" w:eastAsia="標楷體" w:hAnsi="標楷體" w:cs="標楷體" w:hint="eastAsia"/>
        </w:rPr>
        <w:t>壹拾、</w:t>
      </w:r>
      <w:r w:rsidR="00F52242" w:rsidRPr="00F52242">
        <w:rPr>
          <w:rFonts w:ascii="標楷體" w:eastAsia="標楷體" w:hAnsi="標楷體" w:cs="標楷體" w:hint="eastAsia"/>
        </w:rPr>
        <w:t>本計畫奉核可後實施，修正時亦同。</w:t>
      </w:r>
    </w:p>
    <w:sectPr w:rsidR="000E0983" w:rsidRPr="00F5224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FD" w:rsidRDefault="000067FD" w:rsidP="00D9260F">
      <w:r>
        <w:separator/>
      </w:r>
    </w:p>
  </w:endnote>
  <w:endnote w:type="continuationSeparator" w:id="0">
    <w:p w:rsidR="000067FD" w:rsidRDefault="000067FD" w:rsidP="00D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35434"/>
      <w:docPartObj>
        <w:docPartGallery w:val="Page Numbers (Bottom of Page)"/>
        <w:docPartUnique/>
      </w:docPartObj>
    </w:sdtPr>
    <w:sdtEndPr/>
    <w:sdtContent>
      <w:p w:rsidR="00553A9D" w:rsidRDefault="00553A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17" w:rsidRPr="002C2817">
          <w:rPr>
            <w:noProof/>
            <w:lang w:val="zh-TW"/>
          </w:rPr>
          <w:t>2</w:t>
        </w:r>
        <w:r>
          <w:fldChar w:fldCharType="end"/>
        </w:r>
      </w:p>
    </w:sdtContent>
  </w:sdt>
  <w:p w:rsidR="00553A9D" w:rsidRDefault="00553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FD" w:rsidRDefault="000067FD" w:rsidP="00D9260F">
      <w:r>
        <w:separator/>
      </w:r>
    </w:p>
  </w:footnote>
  <w:footnote w:type="continuationSeparator" w:id="0">
    <w:p w:rsidR="000067FD" w:rsidRDefault="000067FD" w:rsidP="00D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72C"/>
    <w:multiLevelType w:val="hybridMultilevel"/>
    <w:tmpl w:val="9C5E6AE4"/>
    <w:lvl w:ilvl="0" w:tplc="2A4052B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EF4181"/>
    <w:multiLevelType w:val="hybridMultilevel"/>
    <w:tmpl w:val="65BEAD80"/>
    <w:lvl w:ilvl="0" w:tplc="117AC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702C90"/>
    <w:multiLevelType w:val="hybridMultilevel"/>
    <w:tmpl w:val="A40CF2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29CE1A0">
      <w:start w:val="1"/>
      <w:numFmt w:val="taiwaneseCountingThousand"/>
      <w:lvlText w:val="（%4）"/>
      <w:lvlJc w:val="left"/>
      <w:pPr>
        <w:ind w:left="1473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3"/>
    <w:rsid w:val="000023AB"/>
    <w:rsid w:val="000067FD"/>
    <w:rsid w:val="00045FF1"/>
    <w:rsid w:val="0004794F"/>
    <w:rsid w:val="000D4BC9"/>
    <w:rsid w:val="000E0983"/>
    <w:rsid w:val="000E1883"/>
    <w:rsid w:val="000E6540"/>
    <w:rsid w:val="000F144F"/>
    <w:rsid w:val="00100F9E"/>
    <w:rsid w:val="00131998"/>
    <w:rsid w:val="001602C1"/>
    <w:rsid w:val="0018786E"/>
    <w:rsid w:val="001C4157"/>
    <w:rsid w:val="001D134A"/>
    <w:rsid w:val="001D6296"/>
    <w:rsid w:val="002234FB"/>
    <w:rsid w:val="00225427"/>
    <w:rsid w:val="00236BFE"/>
    <w:rsid w:val="00247970"/>
    <w:rsid w:val="00280E5C"/>
    <w:rsid w:val="00290E2B"/>
    <w:rsid w:val="002C2817"/>
    <w:rsid w:val="002F5FCC"/>
    <w:rsid w:val="00337E4C"/>
    <w:rsid w:val="00345ACF"/>
    <w:rsid w:val="00355610"/>
    <w:rsid w:val="003A4165"/>
    <w:rsid w:val="003E4B06"/>
    <w:rsid w:val="003F23A6"/>
    <w:rsid w:val="0041219A"/>
    <w:rsid w:val="004163E2"/>
    <w:rsid w:val="004219E3"/>
    <w:rsid w:val="00435121"/>
    <w:rsid w:val="00452FB6"/>
    <w:rsid w:val="004611C3"/>
    <w:rsid w:val="00502AC8"/>
    <w:rsid w:val="005224EA"/>
    <w:rsid w:val="00536260"/>
    <w:rsid w:val="005376AD"/>
    <w:rsid w:val="00546940"/>
    <w:rsid w:val="00553A9D"/>
    <w:rsid w:val="00572D2A"/>
    <w:rsid w:val="005833E0"/>
    <w:rsid w:val="005C32D9"/>
    <w:rsid w:val="005D27B6"/>
    <w:rsid w:val="005D4CF7"/>
    <w:rsid w:val="00650AE1"/>
    <w:rsid w:val="00696069"/>
    <w:rsid w:val="006A2E3C"/>
    <w:rsid w:val="006B284C"/>
    <w:rsid w:val="006B5C5E"/>
    <w:rsid w:val="007174A6"/>
    <w:rsid w:val="00757B37"/>
    <w:rsid w:val="007754E5"/>
    <w:rsid w:val="007B2B17"/>
    <w:rsid w:val="007D0716"/>
    <w:rsid w:val="007D3A4A"/>
    <w:rsid w:val="0083303D"/>
    <w:rsid w:val="0086155B"/>
    <w:rsid w:val="0088698E"/>
    <w:rsid w:val="00894767"/>
    <w:rsid w:val="008A72F8"/>
    <w:rsid w:val="008B58F7"/>
    <w:rsid w:val="008C12C4"/>
    <w:rsid w:val="008C3E96"/>
    <w:rsid w:val="00902CEB"/>
    <w:rsid w:val="00910550"/>
    <w:rsid w:val="00934D2A"/>
    <w:rsid w:val="00941709"/>
    <w:rsid w:val="009D59FD"/>
    <w:rsid w:val="009D61E2"/>
    <w:rsid w:val="009D71F8"/>
    <w:rsid w:val="009E08B6"/>
    <w:rsid w:val="00A16671"/>
    <w:rsid w:val="00A82A0A"/>
    <w:rsid w:val="00AA4B4F"/>
    <w:rsid w:val="00AB2E93"/>
    <w:rsid w:val="00AC6FB6"/>
    <w:rsid w:val="00AD527D"/>
    <w:rsid w:val="00AE5C15"/>
    <w:rsid w:val="00AF6379"/>
    <w:rsid w:val="00B02CC2"/>
    <w:rsid w:val="00B65E5B"/>
    <w:rsid w:val="00BC5B3D"/>
    <w:rsid w:val="00BE036C"/>
    <w:rsid w:val="00BF5D1A"/>
    <w:rsid w:val="00C043F0"/>
    <w:rsid w:val="00C04638"/>
    <w:rsid w:val="00C44168"/>
    <w:rsid w:val="00CC7D15"/>
    <w:rsid w:val="00D26781"/>
    <w:rsid w:val="00D83B33"/>
    <w:rsid w:val="00D9260F"/>
    <w:rsid w:val="00DC5E09"/>
    <w:rsid w:val="00E675CC"/>
    <w:rsid w:val="00E81E11"/>
    <w:rsid w:val="00E90F5C"/>
    <w:rsid w:val="00EB369F"/>
    <w:rsid w:val="00ED2F70"/>
    <w:rsid w:val="00EE1266"/>
    <w:rsid w:val="00EF78E1"/>
    <w:rsid w:val="00F00311"/>
    <w:rsid w:val="00F52242"/>
    <w:rsid w:val="00F91717"/>
    <w:rsid w:val="00FB31C4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98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E0983"/>
  </w:style>
  <w:style w:type="paragraph" w:styleId="a5">
    <w:name w:val="List Paragraph"/>
    <w:basedOn w:val="a"/>
    <w:uiPriority w:val="34"/>
    <w:qFormat/>
    <w:rsid w:val="000E0983"/>
    <w:pPr>
      <w:ind w:leftChars="200" w:left="480"/>
    </w:pPr>
  </w:style>
  <w:style w:type="character" w:customStyle="1" w:styleId="titlename1">
    <w:name w:val="titlename1"/>
    <w:basedOn w:val="a0"/>
    <w:rsid w:val="00F52242"/>
    <w:rPr>
      <w:b w:val="0"/>
      <w:bCs w:val="0"/>
      <w:color w:val="FFFFFF"/>
      <w:sz w:val="23"/>
      <w:szCs w:val="23"/>
    </w:rPr>
  </w:style>
  <w:style w:type="paragraph" w:customStyle="1" w:styleId="1">
    <w:name w:val="清單段落1"/>
    <w:basedOn w:val="a"/>
    <w:uiPriority w:val="99"/>
    <w:qFormat/>
    <w:rsid w:val="00F5224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st1">
    <w:name w:val="st1"/>
    <w:basedOn w:val="a0"/>
    <w:rsid w:val="00EB369F"/>
  </w:style>
  <w:style w:type="paragraph" w:styleId="a6">
    <w:name w:val="header"/>
    <w:basedOn w:val="a"/>
    <w:link w:val="a7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2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60F"/>
    <w:rPr>
      <w:sz w:val="20"/>
      <w:szCs w:val="20"/>
    </w:rPr>
  </w:style>
  <w:style w:type="paragraph" w:customStyle="1" w:styleId="2">
    <w:name w:val="清單段落2"/>
    <w:basedOn w:val="a"/>
    <w:uiPriority w:val="99"/>
    <w:qFormat/>
    <w:rsid w:val="00045FF1"/>
    <w:pPr>
      <w:ind w:leftChars="200" w:left="480"/>
    </w:pPr>
    <w:rPr>
      <w:rFonts w:ascii="Calibri" w:eastAsia="新細明體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98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E0983"/>
  </w:style>
  <w:style w:type="paragraph" w:styleId="a5">
    <w:name w:val="List Paragraph"/>
    <w:basedOn w:val="a"/>
    <w:uiPriority w:val="34"/>
    <w:qFormat/>
    <w:rsid w:val="000E0983"/>
    <w:pPr>
      <w:ind w:leftChars="200" w:left="480"/>
    </w:pPr>
  </w:style>
  <w:style w:type="character" w:customStyle="1" w:styleId="titlename1">
    <w:name w:val="titlename1"/>
    <w:basedOn w:val="a0"/>
    <w:rsid w:val="00F52242"/>
    <w:rPr>
      <w:b w:val="0"/>
      <w:bCs w:val="0"/>
      <w:color w:val="FFFFFF"/>
      <w:sz w:val="23"/>
      <w:szCs w:val="23"/>
    </w:rPr>
  </w:style>
  <w:style w:type="paragraph" w:customStyle="1" w:styleId="1">
    <w:name w:val="清單段落1"/>
    <w:basedOn w:val="a"/>
    <w:uiPriority w:val="99"/>
    <w:qFormat/>
    <w:rsid w:val="00F5224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st1">
    <w:name w:val="st1"/>
    <w:basedOn w:val="a0"/>
    <w:rsid w:val="00EB369F"/>
  </w:style>
  <w:style w:type="paragraph" w:styleId="a6">
    <w:name w:val="header"/>
    <w:basedOn w:val="a"/>
    <w:link w:val="a7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2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60F"/>
    <w:rPr>
      <w:sz w:val="20"/>
      <w:szCs w:val="20"/>
    </w:rPr>
  </w:style>
  <w:style w:type="paragraph" w:customStyle="1" w:styleId="2">
    <w:name w:val="清單段落2"/>
    <w:basedOn w:val="a"/>
    <w:uiPriority w:val="99"/>
    <w:qFormat/>
    <w:rsid w:val="00045FF1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tw/url?sa=t&amp;rct=j&amp;q=&amp;esrc=s&amp;source=web&amp;cd=5&amp;cad=rja&amp;uact=8&amp;ved=0ahUKEwjhjqqondbLAhVGW6YKHYOrDkAQFgg1MAQ&amp;url=http%3A%2F%2Fwww.tpech.gov.tw%2Fpublic%2FMMO%2FGENDER%2F%25E6%2580%25A7%25E5%2588%25A5%25E4%25B8%25BB%25E6%25B5%2581%25E5%258C%2596%25E5%258F%2583%25E8%2580%2583%25E6%2595%2599%25E6%259D%2590gendermainstreamlesson.ppt&amp;usg=AFQjCNH2NNIsN5EvLCeZl5pfEUsxBiPErA&amp;sig2=lxgMq42dTP0g0U6rcnrwa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DB89-1CD1-4D9B-B8C2-7799476D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241</Words>
  <Characters>1374</Characters>
  <Application>Microsoft Office Word</Application>
  <DocSecurity>0</DocSecurity>
  <Lines>11</Lines>
  <Paragraphs>3</Paragraphs>
  <ScaleCrop>false</ScaleCrop>
  <Company>HomeRay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2016-03-23T08:00:00Z</dcterms:created>
  <dcterms:modified xsi:type="dcterms:W3CDTF">2018-03-12T12:48:00Z</dcterms:modified>
</cp:coreProperties>
</file>